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50D" w:rsidRDefault="0007650D" w:rsidP="00A85ED4">
      <w:pPr>
        <w:jc w:val="center"/>
        <w:rPr>
          <w:rFonts w:ascii="Century Gothic" w:eastAsia="Times New Roman" w:hAnsi="Century Gothic" w:cs="Times New Roman"/>
          <w:b/>
          <w:color w:val="1F497D"/>
          <w:sz w:val="22"/>
          <w:szCs w:val="22"/>
        </w:rPr>
      </w:pPr>
      <w:r w:rsidRPr="00A85ED4">
        <w:rPr>
          <w:rFonts w:ascii="Century Gothic" w:eastAsia="Times New Roman" w:hAnsi="Century Gothic" w:cs="Times New Roman"/>
          <w:b/>
          <w:color w:val="1F497D"/>
          <w:sz w:val="22"/>
          <w:szCs w:val="22"/>
        </w:rPr>
        <w:t xml:space="preserve">Workgroup 4 </w:t>
      </w:r>
      <w:r w:rsidRPr="0007650D">
        <w:rPr>
          <w:rFonts w:ascii="Century Gothic" w:eastAsia="Times New Roman" w:hAnsi="Century Gothic" w:cs="Times New Roman"/>
          <w:b/>
          <w:color w:val="1F497D"/>
          <w:sz w:val="22"/>
          <w:szCs w:val="22"/>
        </w:rPr>
        <w:t xml:space="preserve">Leading </w:t>
      </w:r>
      <w:r w:rsidRPr="00A85ED4">
        <w:rPr>
          <w:rFonts w:ascii="Century Gothic" w:eastAsia="Times New Roman" w:hAnsi="Century Gothic" w:cs="Times New Roman"/>
          <w:b/>
          <w:color w:val="1F497D"/>
          <w:sz w:val="22"/>
          <w:szCs w:val="22"/>
        </w:rPr>
        <w:t>I</w:t>
      </w:r>
      <w:r w:rsidRPr="0007650D">
        <w:rPr>
          <w:rFonts w:ascii="Century Gothic" w:eastAsia="Times New Roman" w:hAnsi="Century Gothic" w:cs="Times New Roman"/>
          <w:b/>
          <w:color w:val="1F497D"/>
          <w:sz w:val="22"/>
          <w:szCs w:val="22"/>
        </w:rPr>
        <w:t xml:space="preserve">ndicators </w:t>
      </w:r>
      <w:r w:rsidRPr="00A85ED4">
        <w:rPr>
          <w:rFonts w:ascii="Century Gothic" w:eastAsia="Times New Roman" w:hAnsi="Century Gothic" w:cs="Times New Roman"/>
          <w:b/>
          <w:color w:val="1F497D"/>
          <w:sz w:val="22"/>
          <w:szCs w:val="22"/>
        </w:rPr>
        <w:t>with Fe</w:t>
      </w:r>
      <w:r w:rsidRPr="0007650D">
        <w:rPr>
          <w:rFonts w:ascii="Century Gothic" w:eastAsia="Times New Roman" w:hAnsi="Century Gothic" w:cs="Times New Roman"/>
          <w:b/>
          <w:color w:val="1F497D"/>
          <w:sz w:val="22"/>
          <w:szCs w:val="22"/>
        </w:rPr>
        <w:t>edback</w:t>
      </w:r>
    </w:p>
    <w:p w:rsidR="00A85ED4" w:rsidRPr="00A85ED4" w:rsidRDefault="00A85ED4" w:rsidP="00A85ED4">
      <w:pPr>
        <w:jc w:val="center"/>
        <w:rPr>
          <w:rFonts w:ascii="Century Gothic" w:eastAsia="Times New Roman" w:hAnsi="Century Gothic" w:cs="Times New Roman"/>
          <w:b/>
          <w:color w:val="1F497D"/>
          <w:sz w:val="16"/>
          <w:szCs w:val="16"/>
        </w:rPr>
      </w:pPr>
    </w:p>
    <w:p w:rsidR="00A85ED4" w:rsidRPr="00A85ED4" w:rsidRDefault="00A85ED4" w:rsidP="00A85ED4">
      <w:pPr>
        <w:jc w:val="center"/>
        <w:rPr>
          <w:rFonts w:ascii="Century Gothic" w:eastAsia="Times New Roman" w:hAnsi="Century Gothic" w:cs="Times New Roman"/>
          <w:color w:val="1F497D"/>
          <w:sz w:val="22"/>
          <w:szCs w:val="22"/>
        </w:rPr>
      </w:pPr>
      <w:r w:rsidRPr="00A85ED4">
        <w:rPr>
          <w:rFonts w:ascii="Century Gothic" w:eastAsia="Times New Roman" w:hAnsi="Century Gothic" w:cs="Times New Roman"/>
          <w:color w:val="1F497D"/>
          <w:sz w:val="22"/>
          <w:szCs w:val="22"/>
        </w:rPr>
        <w:t>As of 8.</w:t>
      </w:r>
      <w:r w:rsidR="00951996" w:rsidRPr="00A85ED4">
        <w:rPr>
          <w:rFonts w:ascii="Century Gothic" w:eastAsia="Times New Roman" w:hAnsi="Century Gothic" w:cs="Times New Roman"/>
          <w:color w:val="1F497D"/>
          <w:sz w:val="22"/>
          <w:szCs w:val="22"/>
        </w:rPr>
        <w:t>2</w:t>
      </w:r>
      <w:r w:rsidR="00951996">
        <w:rPr>
          <w:rFonts w:ascii="Century Gothic" w:eastAsia="Times New Roman" w:hAnsi="Century Gothic" w:cs="Times New Roman"/>
          <w:color w:val="1F497D"/>
          <w:sz w:val="22"/>
          <w:szCs w:val="22"/>
        </w:rPr>
        <w:t>7</w:t>
      </w:r>
      <w:r w:rsidRPr="00A85ED4">
        <w:rPr>
          <w:rFonts w:ascii="Century Gothic" w:eastAsia="Times New Roman" w:hAnsi="Century Gothic" w:cs="Times New Roman"/>
          <w:color w:val="1F497D"/>
          <w:sz w:val="22"/>
          <w:szCs w:val="22"/>
        </w:rPr>
        <w:t>.18</w:t>
      </w:r>
    </w:p>
    <w:p w:rsidR="00A85ED4" w:rsidRDefault="00A85ED4" w:rsidP="0007650D">
      <w:pPr>
        <w:rPr>
          <w:rFonts w:ascii="Century Gothic" w:eastAsia="Times New Roman" w:hAnsi="Century Gothic" w:cs="Times New Roman"/>
          <w:color w:val="1F497D"/>
          <w:sz w:val="20"/>
          <w:szCs w:val="20"/>
        </w:rPr>
      </w:pPr>
    </w:p>
    <w:p w:rsidR="008153CF" w:rsidRPr="00466B15" w:rsidRDefault="008153CF" w:rsidP="0007650D">
      <w:pPr>
        <w:rPr>
          <w:rFonts w:ascii="Century Gothic" w:eastAsia="Times New Roman" w:hAnsi="Century Gothic" w:cs="Times New Roman"/>
          <w:b/>
          <w:color w:val="1F497D"/>
          <w:sz w:val="20"/>
          <w:szCs w:val="20"/>
        </w:rPr>
      </w:pPr>
      <w:r w:rsidRPr="00466B15">
        <w:rPr>
          <w:rFonts w:ascii="Century Gothic" w:eastAsia="Times New Roman" w:hAnsi="Century Gothic" w:cs="Times New Roman"/>
          <w:b/>
          <w:color w:val="1F497D"/>
          <w:sz w:val="20"/>
          <w:szCs w:val="20"/>
        </w:rPr>
        <w:t>Definitions:</w:t>
      </w:r>
    </w:p>
    <w:p w:rsidR="008153CF" w:rsidRPr="00466B15" w:rsidRDefault="008153CF" w:rsidP="00466B15">
      <w:pPr>
        <w:pStyle w:val="ListParagraph"/>
        <w:numPr>
          <w:ilvl w:val="0"/>
          <w:numId w:val="6"/>
        </w:numPr>
        <w:rPr>
          <w:rFonts w:ascii="Century Gothic" w:eastAsia="Times New Roman" w:hAnsi="Century Gothic" w:cs="Times New Roman"/>
          <w:color w:val="1F497D"/>
          <w:sz w:val="20"/>
          <w:szCs w:val="20"/>
        </w:rPr>
      </w:pPr>
      <w:r w:rsidRPr="00466B15">
        <w:rPr>
          <w:rFonts w:ascii="Century Gothic" w:eastAsia="Times New Roman" w:hAnsi="Century Gothic" w:cs="Times New Roman"/>
          <w:color w:val="1F497D"/>
          <w:sz w:val="20"/>
          <w:szCs w:val="20"/>
        </w:rPr>
        <w:t xml:space="preserve">WBL:  experiences that promote career exploration and </w:t>
      </w:r>
      <w:r w:rsidR="00B36199" w:rsidRPr="00466B15">
        <w:rPr>
          <w:rFonts w:ascii="Century Gothic" w:eastAsia="Times New Roman" w:hAnsi="Century Gothic" w:cs="Times New Roman"/>
          <w:color w:val="1F497D"/>
          <w:sz w:val="20"/>
          <w:szCs w:val="20"/>
        </w:rPr>
        <w:t>hands-on learning</w:t>
      </w:r>
      <w:r w:rsidR="00466B15">
        <w:rPr>
          <w:rFonts w:ascii="Century Gothic" w:eastAsia="Times New Roman" w:hAnsi="Century Gothic" w:cs="Times New Roman"/>
          <w:color w:val="1F497D"/>
          <w:sz w:val="20"/>
          <w:szCs w:val="20"/>
        </w:rPr>
        <w:t xml:space="preserve"> through direct engagement with employers</w:t>
      </w:r>
      <w:r w:rsidR="00B36199" w:rsidRPr="00466B15">
        <w:rPr>
          <w:rFonts w:ascii="Century Gothic" w:eastAsia="Times New Roman" w:hAnsi="Century Gothic" w:cs="Times New Roman"/>
          <w:color w:val="1F497D"/>
          <w:sz w:val="20"/>
          <w:szCs w:val="20"/>
        </w:rPr>
        <w:t>; productivity is secondary to learning.</w:t>
      </w:r>
    </w:p>
    <w:p w:rsidR="00B36199" w:rsidRPr="00466B15" w:rsidRDefault="00B36199" w:rsidP="00466B15">
      <w:pPr>
        <w:pStyle w:val="ListParagraph"/>
        <w:numPr>
          <w:ilvl w:val="0"/>
          <w:numId w:val="6"/>
        </w:numPr>
        <w:rPr>
          <w:rFonts w:ascii="Century Gothic" w:eastAsia="Times New Roman" w:hAnsi="Century Gothic" w:cs="Times New Roman"/>
          <w:color w:val="1F497D"/>
          <w:sz w:val="20"/>
          <w:szCs w:val="20"/>
        </w:rPr>
      </w:pPr>
      <w:r w:rsidRPr="00466B15">
        <w:rPr>
          <w:rFonts w:ascii="Century Gothic" w:eastAsia="Times New Roman" w:hAnsi="Century Gothic" w:cs="Times New Roman"/>
          <w:color w:val="1F497D"/>
          <w:sz w:val="20"/>
          <w:szCs w:val="20"/>
        </w:rPr>
        <w:t xml:space="preserve">Job:  </w:t>
      </w:r>
      <w:r w:rsidR="00466B15" w:rsidRPr="00466B15">
        <w:rPr>
          <w:rFonts w:ascii="Century Gothic" w:eastAsia="Times New Roman" w:hAnsi="Century Gothic" w:cs="Times New Roman"/>
          <w:color w:val="1F497D"/>
          <w:sz w:val="20"/>
          <w:szCs w:val="20"/>
        </w:rPr>
        <w:t xml:space="preserve">“a regular remunerative position”; </w:t>
      </w:r>
      <w:r w:rsidRPr="00466B15">
        <w:rPr>
          <w:rFonts w:ascii="Century Gothic" w:eastAsia="Times New Roman" w:hAnsi="Century Gothic" w:cs="Times New Roman"/>
          <w:color w:val="1F497D"/>
          <w:sz w:val="20"/>
          <w:szCs w:val="20"/>
        </w:rPr>
        <w:t>learning is secondary to productivity</w:t>
      </w:r>
      <w:r w:rsidR="00466B15">
        <w:rPr>
          <w:rFonts w:ascii="Century Gothic" w:eastAsia="Times New Roman" w:hAnsi="Century Gothic" w:cs="Times New Roman"/>
          <w:color w:val="1F497D"/>
          <w:sz w:val="20"/>
          <w:szCs w:val="20"/>
        </w:rPr>
        <w:t>.</w:t>
      </w:r>
      <w:r w:rsidRPr="00466B15">
        <w:rPr>
          <w:rFonts w:ascii="Century Gothic" w:eastAsia="Times New Roman" w:hAnsi="Century Gothic" w:cs="Times New Roman"/>
          <w:color w:val="1F497D"/>
          <w:sz w:val="20"/>
          <w:szCs w:val="20"/>
        </w:rPr>
        <w:t xml:space="preserve"> </w:t>
      </w:r>
    </w:p>
    <w:p w:rsidR="00466B15" w:rsidRPr="00466B15" w:rsidRDefault="00466B15" w:rsidP="00466B15">
      <w:pPr>
        <w:rPr>
          <w:rFonts w:ascii="Century Gothic" w:eastAsia="Times New Roman" w:hAnsi="Century Gothic" w:cs="Times New Roman"/>
          <w:color w:val="1F497D"/>
          <w:sz w:val="20"/>
          <w:szCs w:val="20"/>
        </w:rPr>
      </w:pPr>
      <w:r w:rsidRPr="00466B15">
        <w:rPr>
          <w:rFonts w:ascii="Century Gothic" w:eastAsia="Times New Roman" w:hAnsi="Century Gothic" w:cs="Times New Roman"/>
          <w:color w:val="1F497D"/>
          <w:sz w:val="20"/>
          <w:szCs w:val="20"/>
        </w:rPr>
        <w:t>Some positions offer both learning and pay; group calibration will be required to determine how these are counted.</w:t>
      </w:r>
      <w:r w:rsidR="00F41401">
        <w:rPr>
          <w:rFonts w:ascii="Century Gothic" w:eastAsia="Times New Roman" w:hAnsi="Century Gothic" w:cs="Times New Roman"/>
          <w:color w:val="1F497D"/>
          <w:sz w:val="20"/>
          <w:szCs w:val="20"/>
        </w:rPr>
        <w:t xml:space="preserve"> </w:t>
      </w:r>
      <w:r w:rsidR="00762F63">
        <w:rPr>
          <w:rFonts w:ascii="Century Gothic" w:eastAsia="Times New Roman" w:hAnsi="Century Gothic" w:cs="Times New Roman"/>
          <w:color w:val="1F497D"/>
          <w:sz w:val="20"/>
          <w:szCs w:val="20"/>
        </w:rPr>
        <w:t>D</w:t>
      </w:r>
      <w:r w:rsidR="00F41401">
        <w:rPr>
          <w:rFonts w:ascii="Century Gothic" w:eastAsia="Times New Roman" w:hAnsi="Century Gothic" w:cs="Times New Roman"/>
          <w:color w:val="1F497D"/>
          <w:sz w:val="20"/>
          <w:szCs w:val="20"/>
        </w:rPr>
        <w:t xml:space="preserve">etermination will also </w:t>
      </w:r>
      <w:r w:rsidR="00762F63">
        <w:rPr>
          <w:rFonts w:ascii="Century Gothic" w:eastAsia="Times New Roman" w:hAnsi="Century Gothic" w:cs="Times New Roman"/>
          <w:color w:val="1F497D"/>
          <w:sz w:val="20"/>
          <w:szCs w:val="20"/>
        </w:rPr>
        <w:t xml:space="preserve">be </w:t>
      </w:r>
      <w:r w:rsidR="00F41401">
        <w:rPr>
          <w:rFonts w:ascii="Century Gothic" w:eastAsia="Times New Roman" w:hAnsi="Century Gothic" w:cs="Times New Roman"/>
          <w:color w:val="1F497D"/>
          <w:sz w:val="20"/>
          <w:szCs w:val="20"/>
        </w:rPr>
        <w:t>need</w:t>
      </w:r>
      <w:r w:rsidR="00762F63">
        <w:rPr>
          <w:rFonts w:ascii="Century Gothic" w:eastAsia="Times New Roman" w:hAnsi="Century Gothic" w:cs="Times New Roman"/>
          <w:color w:val="1F497D"/>
          <w:sz w:val="20"/>
          <w:szCs w:val="20"/>
        </w:rPr>
        <w:t>ed</w:t>
      </w:r>
      <w:r w:rsidR="00F41401">
        <w:rPr>
          <w:rFonts w:ascii="Century Gothic" w:eastAsia="Times New Roman" w:hAnsi="Century Gothic" w:cs="Times New Roman"/>
          <w:color w:val="1F497D"/>
          <w:sz w:val="20"/>
          <w:szCs w:val="20"/>
        </w:rPr>
        <w:t xml:space="preserve"> about counting part-time vs. full-time jobs</w:t>
      </w:r>
      <w:r w:rsidR="00762F63">
        <w:rPr>
          <w:rFonts w:ascii="Century Gothic" w:eastAsia="Times New Roman" w:hAnsi="Century Gothic" w:cs="Times New Roman"/>
          <w:color w:val="1F497D"/>
          <w:sz w:val="20"/>
          <w:szCs w:val="20"/>
        </w:rPr>
        <w:t>.</w:t>
      </w:r>
    </w:p>
    <w:p w:rsidR="0007650D" w:rsidRDefault="0007650D" w:rsidP="0007650D">
      <w:pPr>
        <w:rPr>
          <w:rFonts w:ascii="Calibri" w:eastAsia="Times New Roman" w:hAnsi="Calibri" w:cs="Times New Roman"/>
          <w:color w:val="1F497D"/>
          <w:sz w:val="22"/>
          <w:szCs w:val="22"/>
        </w:rPr>
      </w:pPr>
    </w:p>
    <w:p w:rsidR="00A85ED4" w:rsidRPr="00A85ED4" w:rsidRDefault="00A85ED4" w:rsidP="0007650D">
      <w:pPr>
        <w:rPr>
          <w:rFonts w:ascii="Century Gothic" w:eastAsia="Times New Roman" w:hAnsi="Century Gothic" w:cs="Times New Roman"/>
          <w:b/>
          <w:color w:val="1F497D"/>
          <w:sz w:val="22"/>
          <w:szCs w:val="22"/>
        </w:rPr>
      </w:pPr>
      <w:r w:rsidRPr="00A85ED4">
        <w:rPr>
          <w:rFonts w:ascii="Century Gothic" w:eastAsia="Times New Roman" w:hAnsi="Century Gothic" w:cs="Times New Roman"/>
          <w:b/>
          <w:color w:val="1F497D"/>
          <w:sz w:val="22"/>
          <w:szCs w:val="22"/>
        </w:rPr>
        <w:t>Indicators</w:t>
      </w:r>
    </w:p>
    <w:p w:rsidR="00A85ED4" w:rsidRPr="0007650D" w:rsidRDefault="00A85ED4" w:rsidP="0007650D">
      <w:pPr>
        <w:rPr>
          <w:rFonts w:ascii="Calibri" w:eastAsia="Times New Roman" w:hAnsi="Calibri" w:cs="Times New Roman"/>
          <w:color w:val="1F497D"/>
          <w:sz w:val="22"/>
          <w:szCs w:val="22"/>
        </w:rPr>
      </w:pPr>
    </w:p>
    <w:p w:rsidR="0007650D" w:rsidRPr="00A017F2" w:rsidRDefault="0007650D" w:rsidP="00176978">
      <w:pPr>
        <w:pStyle w:val="ListParagraph"/>
        <w:numPr>
          <w:ilvl w:val="0"/>
          <w:numId w:val="5"/>
        </w:numPr>
        <w:ind w:left="360"/>
        <w:rPr>
          <w:rFonts w:ascii="Century Gothic" w:eastAsia="Times New Roman" w:hAnsi="Century Gothic" w:cs="Times New Roman"/>
          <w:color w:val="000000" w:themeColor="text1"/>
          <w:sz w:val="20"/>
          <w:szCs w:val="20"/>
        </w:rPr>
      </w:pPr>
      <w:r w:rsidRPr="00A017F2">
        <w:rPr>
          <w:rFonts w:ascii="Century Gothic" w:eastAsia="Times New Roman" w:hAnsi="Century Gothic" w:cs="Times New Roman"/>
          <w:color w:val="000000" w:themeColor="text1"/>
          <w:sz w:val="20"/>
          <w:szCs w:val="20"/>
        </w:rPr>
        <w:t>Percent of faculty participating in WBL assessment</w:t>
      </w:r>
      <w:r w:rsidR="00F41401">
        <w:rPr>
          <w:rFonts w:ascii="Century Gothic" w:eastAsia="Times New Roman" w:hAnsi="Century Gothic" w:cs="Times New Roman"/>
          <w:color w:val="000000" w:themeColor="text1"/>
          <w:sz w:val="20"/>
          <w:szCs w:val="20"/>
        </w:rPr>
        <w:t>.</w:t>
      </w:r>
    </w:p>
    <w:p w:rsidR="0007650D" w:rsidRPr="00A017F2" w:rsidRDefault="0007650D" w:rsidP="0007650D">
      <w:pPr>
        <w:pStyle w:val="ListParagraph"/>
        <w:numPr>
          <w:ilvl w:val="0"/>
          <w:numId w:val="1"/>
        </w:numPr>
        <w:rPr>
          <w:rFonts w:ascii="Century Gothic" w:eastAsia="Times New Roman" w:hAnsi="Century Gothic" w:cs="Times New Roman"/>
          <w:color w:val="000000" w:themeColor="text1"/>
          <w:sz w:val="20"/>
          <w:szCs w:val="20"/>
        </w:rPr>
      </w:pPr>
      <w:r w:rsidRPr="00A017F2">
        <w:rPr>
          <w:rFonts w:ascii="Century Gothic" w:eastAsia="Times New Roman" w:hAnsi="Century Gothic" w:cs="Times New Roman"/>
          <w:color w:val="000000" w:themeColor="text1"/>
          <w:sz w:val="20"/>
          <w:szCs w:val="20"/>
        </w:rPr>
        <w:t>Could be counted by the Assessment Liaison during the data collection process, or from the survey results</w:t>
      </w:r>
      <w:r w:rsidR="00A85ED4" w:rsidRPr="00A017F2">
        <w:rPr>
          <w:rFonts w:ascii="Century Gothic" w:eastAsia="Times New Roman" w:hAnsi="Century Gothic" w:cs="Times New Roman"/>
          <w:color w:val="000000" w:themeColor="text1"/>
          <w:sz w:val="20"/>
          <w:szCs w:val="20"/>
        </w:rPr>
        <w:t>.</w:t>
      </w:r>
    </w:p>
    <w:p w:rsidR="0007650D" w:rsidRPr="00466B15" w:rsidRDefault="0007650D" w:rsidP="0007650D">
      <w:pPr>
        <w:rPr>
          <w:rFonts w:ascii="Century Gothic" w:eastAsia="Times New Roman" w:hAnsi="Century Gothic" w:cs="Times New Roman"/>
          <w:color w:val="000000" w:themeColor="text1"/>
          <w:sz w:val="15"/>
          <w:szCs w:val="15"/>
        </w:rPr>
      </w:pPr>
    </w:p>
    <w:p w:rsidR="0007650D" w:rsidRPr="00A017F2" w:rsidRDefault="0007650D" w:rsidP="00176978">
      <w:pPr>
        <w:pStyle w:val="ListParagraph"/>
        <w:numPr>
          <w:ilvl w:val="0"/>
          <w:numId w:val="5"/>
        </w:numPr>
        <w:ind w:left="360"/>
        <w:rPr>
          <w:rFonts w:ascii="Century Gothic" w:eastAsia="Times New Roman" w:hAnsi="Century Gothic" w:cs="Times New Roman"/>
          <w:color w:val="000000" w:themeColor="text1"/>
          <w:sz w:val="20"/>
          <w:szCs w:val="20"/>
        </w:rPr>
      </w:pPr>
      <w:r w:rsidRPr="00A017F2">
        <w:rPr>
          <w:rFonts w:ascii="Century Gothic" w:eastAsia="Times New Roman" w:hAnsi="Century Gothic" w:cs="Times New Roman"/>
          <w:color w:val="000000" w:themeColor="text1"/>
          <w:sz w:val="20"/>
          <w:szCs w:val="20"/>
        </w:rPr>
        <w:t>Percent of colleges completing hiring processes for full-time, contract job placement case manager</w:t>
      </w:r>
      <w:r w:rsidR="00466B15">
        <w:rPr>
          <w:rFonts w:ascii="Century Gothic" w:eastAsia="Times New Roman" w:hAnsi="Century Gothic" w:cs="Times New Roman"/>
          <w:color w:val="000000" w:themeColor="text1"/>
          <w:sz w:val="20"/>
          <w:szCs w:val="20"/>
        </w:rPr>
        <w:t>.</w:t>
      </w:r>
    </w:p>
    <w:p w:rsidR="0007650D" w:rsidRPr="00466B15" w:rsidRDefault="0007650D" w:rsidP="0007650D">
      <w:pPr>
        <w:ind w:left="360" w:hanging="360"/>
        <w:rPr>
          <w:rFonts w:ascii="Times New Roman" w:eastAsia="Times New Roman" w:hAnsi="Times New Roman" w:cs="Times New Roman"/>
          <w:color w:val="000000" w:themeColor="text1"/>
          <w:sz w:val="15"/>
          <w:szCs w:val="15"/>
        </w:rPr>
      </w:pPr>
    </w:p>
    <w:p w:rsidR="0007650D" w:rsidRPr="00A017F2" w:rsidRDefault="0007650D" w:rsidP="00A017F2">
      <w:pPr>
        <w:pStyle w:val="ListParagraph"/>
        <w:numPr>
          <w:ilvl w:val="0"/>
          <w:numId w:val="5"/>
        </w:numPr>
        <w:ind w:left="360"/>
        <w:rPr>
          <w:rFonts w:ascii="Century Gothic" w:eastAsia="Times New Roman" w:hAnsi="Century Gothic" w:cs="Times New Roman"/>
          <w:color w:val="000000" w:themeColor="text1"/>
          <w:sz w:val="20"/>
          <w:szCs w:val="20"/>
        </w:rPr>
      </w:pPr>
      <w:r w:rsidRPr="00A017F2">
        <w:rPr>
          <w:rFonts w:ascii="Century Gothic" w:eastAsia="Times New Roman" w:hAnsi="Century Gothic" w:cs="Times New Roman"/>
          <w:color w:val="000000" w:themeColor="text1"/>
          <w:sz w:val="20"/>
          <w:szCs w:val="20"/>
        </w:rPr>
        <w:t>Number of WBL activities offered</w:t>
      </w:r>
      <w:r w:rsidR="00A017F2">
        <w:rPr>
          <w:rFonts w:ascii="Century Gothic" w:eastAsia="Times New Roman" w:hAnsi="Century Gothic" w:cs="Times New Roman"/>
          <w:color w:val="000000" w:themeColor="text1"/>
          <w:sz w:val="20"/>
          <w:szCs w:val="20"/>
        </w:rPr>
        <w:t>,</w:t>
      </w:r>
      <w:r w:rsidRPr="00A017F2">
        <w:rPr>
          <w:rFonts w:ascii="Century Gothic" w:eastAsia="Times New Roman" w:hAnsi="Century Gothic" w:cs="Times New Roman"/>
          <w:color w:val="000000" w:themeColor="text1"/>
          <w:sz w:val="20"/>
          <w:szCs w:val="20"/>
        </w:rPr>
        <w:t xml:space="preserve"> by type</w:t>
      </w:r>
      <w:r w:rsidR="00466B15">
        <w:rPr>
          <w:rFonts w:ascii="Century Gothic" w:eastAsia="Times New Roman" w:hAnsi="Century Gothic" w:cs="Times New Roman"/>
          <w:color w:val="000000" w:themeColor="text1"/>
          <w:sz w:val="20"/>
          <w:szCs w:val="20"/>
        </w:rPr>
        <w:t xml:space="preserve"> of activity.</w:t>
      </w:r>
      <w:r w:rsidR="00951996" w:rsidRPr="00A017F2" w:rsidDel="00951996">
        <w:rPr>
          <w:rFonts w:ascii="Century Gothic" w:eastAsia="Times New Roman" w:hAnsi="Century Gothic" w:cs="Times New Roman"/>
          <w:color w:val="000000" w:themeColor="text1"/>
          <w:sz w:val="20"/>
          <w:szCs w:val="20"/>
        </w:rPr>
        <w:t xml:space="preserve"> </w:t>
      </w:r>
    </w:p>
    <w:p w:rsidR="00951996" w:rsidRPr="00A017F2" w:rsidRDefault="0007650D" w:rsidP="00A017F2">
      <w:pPr>
        <w:pStyle w:val="ListParagraph"/>
        <w:numPr>
          <w:ilvl w:val="0"/>
          <w:numId w:val="1"/>
        </w:numPr>
        <w:rPr>
          <w:rFonts w:ascii="Century Gothic" w:eastAsia="Times New Roman" w:hAnsi="Century Gothic" w:cs="Times New Roman"/>
          <w:color w:val="000000" w:themeColor="text1"/>
          <w:sz w:val="20"/>
          <w:szCs w:val="20"/>
        </w:rPr>
      </w:pPr>
      <w:r w:rsidRPr="00A017F2">
        <w:rPr>
          <w:rFonts w:ascii="Century Gothic" w:eastAsia="Times New Roman" w:hAnsi="Century Gothic" w:cs="Times New Roman"/>
          <w:color w:val="000000" w:themeColor="text1"/>
          <w:sz w:val="20"/>
          <w:szCs w:val="20"/>
        </w:rPr>
        <w:t xml:space="preserve">The proposed inventory process </w:t>
      </w:r>
      <w:r w:rsidR="00951996" w:rsidRPr="00A017F2">
        <w:rPr>
          <w:rFonts w:ascii="Century Gothic" w:eastAsia="Times New Roman" w:hAnsi="Century Gothic" w:cs="Times New Roman"/>
          <w:color w:val="000000" w:themeColor="text1"/>
          <w:sz w:val="20"/>
          <w:szCs w:val="20"/>
        </w:rPr>
        <w:t>would facilitate counting</w:t>
      </w:r>
      <w:r w:rsidR="00466B15">
        <w:rPr>
          <w:rFonts w:ascii="Century Gothic" w:eastAsia="Times New Roman" w:hAnsi="Century Gothic" w:cs="Times New Roman"/>
          <w:color w:val="000000" w:themeColor="text1"/>
          <w:sz w:val="20"/>
          <w:szCs w:val="20"/>
        </w:rPr>
        <w:t>.</w:t>
      </w:r>
      <w:r w:rsidRPr="00A017F2">
        <w:rPr>
          <w:rFonts w:ascii="Century Gothic" w:eastAsia="Times New Roman" w:hAnsi="Century Gothic" w:cs="Times New Roman"/>
          <w:color w:val="000000" w:themeColor="text1"/>
          <w:sz w:val="20"/>
          <w:szCs w:val="20"/>
        </w:rPr>
        <w:t xml:space="preserve"> </w:t>
      </w:r>
    </w:p>
    <w:p w:rsidR="0007650D" w:rsidRPr="00466B15" w:rsidRDefault="0007650D" w:rsidP="00A017F2">
      <w:pPr>
        <w:pStyle w:val="ListParagraph"/>
        <w:rPr>
          <w:rFonts w:ascii="Times New Roman" w:eastAsia="Times New Roman" w:hAnsi="Times New Roman" w:cs="Times New Roman"/>
          <w:color w:val="000000" w:themeColor="text1"/>
          <w:sz w:val="15"/>
          <w:szCs w:val="15"/>
        </w:rPr>
      </w:pPr>
    </w:p>
    <w:p w:rsidR="005739D6" w:rsidRPr="00A017F2" w:rsidRDefault="005739D6" w:rsidP="00176978">
      <w:pPr>
        <w:pStyle w:val="ListParagraph"/>
        <w:numPr>
          <w:ilvl w:val="0"/>
          <w:numId w:val="5"/>
        </w:numPr>
        <w:ind w:left="360"/>
        <w:rPr>
          <w:rFonts w:ascii="Century Gothic" w:eastAsia="Times New Roman" w:hAnsi="Century Gothic" w:cs="Times New Roman"/>
          <w:color w:val="000000" w:themeColor="text1"/>
          <w:sz w:val="20"/>
          <w:szCs w:val="20"/>
        </w:rPr>
      </w:pPr>
      <w:r w:rsidRPr="00A017F2">
        <w:rPr>
          <w:rFonts w:ascii="Century Gothic" w:eastAsia="Times New Roman" w:hAnsi="Century Gothic" w:cs="Times New Roman"/>
          <w:color w:val="000000" w:themeColor="text1"/>
          <w:sz w:val="20"/>
          <w:szCs w:val="20"/>
        </w:rPr>
        <w:t>Number of students accessing</w:t>
      </w:r>
      <w:r w:rsidRPr="00A017F2">
        <w:rPr>
          <w:rFonts w:ascii="Century Gothic" w:eastAsia="Times New Roman" w:hAnsi="Century Gothic" w:cs="Times New Roman"/>
          <w:color w:val="000000" w:themeColor="text1"/>
          <w:sz w:val="20"/>
          <w:szCs w:val="20"/>
        </w:rPr>
        <w:t xml:space="preserve"> work readiness programs on campus (including classroom presentations by career center staff, sep</w:t>
      </w:r>
      <w:r w:rsidR="00A017F2">
        <w:rPr>
          <w:rFonts w:ascii="Century Gothic" w:eastAsia="Times New Roman" w:hAnsi="Century Gothic" w:cs="Times New Roman"/>
          <w:color w:val="000000" w:themeColor="text1"/>
          <w:sz w:val="20"/>
          <w:szCs w:val="20"/>
        </w:rPr>
        <w:t>a</w:t>
      </w:r>
      <w:r w:rsidRPr="00A017F2">
        <w:rPr>
          <w:rFonts w:ascii="Century Gothic" w:eastAsia="Times New Roman" w:hAnsi="Century Gothic" w:cs="Times New Roman"/>
          <w:color w:val="000000" w:themeColor="text1"/>
          <w:sz w:val="20"/>
          <w:szCs w:val="20"/>
        </w:rPr>
        <w:t>r</w:t>
      </w:r>
      <w:r w:rsidRPr="00A017F2">
        <w:rPr>
          <w:rFonts w:ascii="Century Gothic" w:eastAsia="Times New Roman" w:hAnsi="Century Gothic" w:cs="Times New Roman"/>
          <w:color w:val="000000" w:themeColor="text1"/>
          <w:sz w:val="20"/>
          <w:szCs w:val="20"/>
        </w:rPr>
        <w:t>ate work readiness courses, and campus workshops</w:t>
      </w:r>
      <w:r w:rsidR="008153CF">
        <w:rPr>
          <w:rFonts w:ascii="Century Gothic" w:eastAsia="Times New Roman" w:hAnsi="Century Gothic" w:cs="Times New Roman"/>
          <w:color w:val="000000" w:themeColor="text1"/>
          <w:sz w:val="20"/>
          <w:szCs w:val="20"/>
        </w:rPr>
        <w:t>; may also include “case managed” work readiness for individual students, offered by the JPCM or other program staff.</w:t>
      </w:r>
      <w:r w:rsidRPr="00A017F2">
        <w:rPr>
          <w:rFonts w:ascii="Century Gothic" w:eastAsia="Times New Roman" w:hAnsi="Century Gothic" w:cs="Times New Roman"/>
          <w:color w:val="000000" w:themeColor="text1"/>
          <w:sz w:val="20"/>
          <w:szCs w:val="20"/>
        </w:rPr>
        <w:t>)</w:t>
      </w:r>
    </w:p>
    <w:p w:rsidR="005739D6" w:rsidRPr="00466B15" w:rsidRDefault="005739D6" w:rsidP="00A017F2">
      <w:pPr>
        <w:rPr>
          <w:rFonts w:ascii="Century Gothic" w:eastAsia="Times New Roman" w:hAnsi="Century Gothic" w:cs="Times New Roman"/>
          <w:color w:val="000000" w:themeColor="text1"/>
          <w:sz w:val="15"/>
          <w:szCs w:val="15"/>
        </w:rPr>
      </w:pPr>
    </w:p>
    <w:p w:rsidR="005739D6" w:rsidRPr="00A017F2" w:rsidRDefault="0007650D" w:rsidP="00176978">
      <w:pPr>
        <w:pStyle w:val="ListParagraph"/>
        <w:numPr>
          <w:ilvl w:val="0"/>
          <w:numId w:val="5"/>
        </w:numPr>
        <w:ind w:left="360"/>
        <w:rPr>
          <w:rFonts w:ascii="Century Gothic" w:eastAsia="Times New Roman" w:hAnsi="Century Gothic" w:cs="Times New Roman"/>
          <w:color w:val="000000" w:themeColor="text1"/>
          <w:sz w:val="20"/>
          <w:szCs w:val="20"/>
        </w:rPr>
      </w:pPr>
      <w:r w:rsidRPr="00A017F2">
        <w:rPr>
          <w:rFonts w:ascii="Century Gothic" w:eastAsia="Times New Roman" w:hAnsi="Century Gothic" w:cs="Times New Roman"/>
          <w:color w:val="000000" w:themeColor="text1"/>
          <w:sz w:val="20"/>
          <w:szCs w:val="20"/>
        </w:rPr>
        <w:t>Number of students accessing WBL</w:t>
      </w:r>
      <w:r w:rsidR="00466B15">
        <w:rPr>
          <w:rFonts w:ascii="Century Gothic" w:eastAsia="Times New Roman" w:hAnsi="Century Gothic" w:cs="Times New Roman"/>
          <w:color w:val="000000" w:themeColor="text1"/>
          <w:sz w:val="20"/>
          <w:szCs w:val="20"/>
        </w:rPr>
        <w:t>,</w:t>
      </w:r>
      <w:r w:rsidRPr="00A017F2">
        <w:rPr>
          <w:rFonts w:ascii="Century Gothic" w:eastAsia="Times New Roman" w:hAnsi="Century Gothic" w:cs="Times New Roman"/>
          <w:color w:val="000000" w:themeColor="text1"/>
          <w:sz w:val="20"/>
          <w:szCs w:val="20"/>
        </w:rPr>
        <w:t xml:space="preserve"> </w:t>
      </w:r>
      <w:r w:rsidR="005739D6" w:rsidRPr="00A017F2">
        <w:rPr>
          <w:rFonts w:ascii="Century Gothic" w:eastAsia="Times New Roman" w:hAnsi="Century Gothic" w:cs="Times New Roman"/>
          <w:color w:val="000000" w:themeColor="text1"/>
          <w:sz w:val="20"/>
          <w:szCs w:val="20"/>
        </w:rPr>
        <w:t xml:space="preserve">by type of WBL opportunity (Note, includes the full range of </w:t>
      </w:r>
      <w:r w:rsidR="00756C7C" w:rsidRPr="00A017F2">
        <w:rPr>
          <w:rFonts w:ascii="Century Gothic" w:eastAsia="Times New Roman" w:hAnsi="Century Gothic" w:cs="Times New Roman"/>
          <w:color w:val="000000" w:themeColor="text1"/>
          <w:sz w:val="20"/>
          <w:szCs w:val="20"/>
        </w:rPr>
        <w:t xml:space="preserve">learning </w:t>
      </w:r>
      <w:r w:rsidR="005739D6" w:rsidRPr="00A017F2">
        <w:rPr>
          <w:rFonts w:ascii="Century Gothic" w:eastAsia="Times New Roman" w:hAnsi="Century Gothic" w:cs="Times New Roman"/>
          <w:color w:val="000000" w:themeColor="text1"/>
          <w:sz w:val="20"/>
          <w:szCs w:val="20"/>
        </w:rPr>
        <w:t>opportunit</w:t>
      </w:r>
      <w:r w:rsidR="00756C7C" w:rsidRPr="00A017F2">
        <w:rPr>
          <w:rFonts w:ascii="Century Gothic" w:eastAsia="Times New Roman" w:hAnsi="Century Gothic" w:cs="Times New Roman"/>
          <w:color w:val="000000" w:themeColor="text1"/>
          <w:sz w:val="20"/>
          <w:szCs w:val="20"/>
        </w:rPr>
        <w:t>ies</w:t>
      </w:r>
      <w:r w:rsidR="005739D6" w:rsidRPr="00A017F2">
        <w:rPr>
          <w:rFonts w:ascii="Century Gothic" w:eastAsia="Times New Roman" w:hAnsi="Century Gothic" w:cs="Times New Roman"/>
          <w:color w:val="000000" w:themeColor="text1"/>
          <w:sz w:val="20"/>
          <w:szCs w:val="20"/>
        </w:rPr>
        <w:t>, from career fairs and industry speakers</w:t>
      </w:r>
      <w:r w:rsidR="004B1877" w:rsidRPr="00A017F2">
        <w:rPr>
          <w:rFonts w:ascii="Century Gothic" w:eastAsia="Times New Roman" w:hAnsi="Century Gothic" w:cs="Times New Roman"/>
          <w:color w:val="000000" w:themeColor="text1"/>
          <w:sz w:val="20"/>
          <w:szCs w:val="20"/>
        </w:rPr>
        <w:t xml:space="preserve"> to internships, paid co-operative work experience, clinical placements, and apprenticeships</w:t>
      </w:r>
      <w:r w:rsidR="004B1877" w:rsidRPr="00A017F2">
        <w:rPr>
          <w:rStyle w:val="FootnoteReference"/>
          <w:rFonts w:ascii="Century Gothic" w:eastAsia="Times New Roman" w:hAnsi="Century Gothic" w:cs="Times New Roman"/>
          <w:color w:val="000000" w:themeColor="text1"/>
          <w:sz w:val="20"/>
          <w:szCs w:val="20"/>
        </w:rPr>
        <w:footnoteReference w:id="1"/>
      </w:r>
      <w:r w:rsidR="004B1877" w:rsidRPr="00A017F2">
        <w:rPr>
          <w:rFonts w:ascii="Century Gothic" w:eastAsia="Times New Roman" w:hAnsi="Century Gothic" w:cs="Times New Roman"/>
          <w:color w:val="000000" w:themeColor="text1"/>
          <w:sz w:val="20"/>
          <w:szCs w:val="20"/>
        </w:rPr>
        <w:t>).</w:t>
      </w:r>
    </w:p>
    <w:p w:rsidR="002D6D2F" w:rsidRPr="00466B15" w:rsidRDefault="002D6D2F" w:rsidP="00A017F2">
      <w:pPr>
        <w:pStyle w:val="ListParagraph"/>
        <w:rPr>
          <w:rFonts w:ascii="Century Gothic" w:eastAsia="Times New Roman" w:hAnsi="Century Gothic" w:cs="Times New Roman"/>
          <w:color w:val="000000" w:themeColor="text1"/>
          <w:sz w:val="15"/>
          <w:szCs w:val="15"/>
        </w:rPr>
      </w:pPr>
    </w:p>
    <w:p w:rsidR="002D6D2F" w:rsidRPr="00A017F2" w:rsidRDefault="002D6D2F" w:rsidP="00176978">
      <w:pPr>
        <w:pStyle w:val="ListParagraph"/>
        <w:numPr>
          <w:ilvl w:val="0"/>
          <w:numId w:val="5"/>
        </w:numPr>
        <w:ind w:left="360"/>
        <w:rPr>
          <w:rFonts w:ascii="Century Gothic" w:eastAsia="Times New Roman" w:hAnsi="Century Gothic" w:cs="Times New Roman"/>
          <w:color w:val="000000" w:themeColor="text1"/>
          <w:sz w:val="20"/>
          <w:szCs w:val="20"/>
        </w:rPr>
      </w:pPr>
      <w:r w:rsidRPr="00A017F2">
        <w:rPr>
          <w:rFonts w:ascii="Century Gothic" w:eastAsia="Times New Roman" w:hAnsi="Century Gothic" w:cs="Times New Roman"/>
          <w:color w:val="000000" w:themeColor="text1"/>
          <w:sz w:val="20"/>
          <w:szCs w:val="20"/>
        </w:rPr>
        <w:t xml:space="preserve">(WestEd proposed addition) Number of internships that result in </w:t>
      </w:r>
      <w:r w:rsidR="00F41401">
        <w:rPr>
          <w:rFonts w:ascii="Century Gothic" w:eastAsia="Times New Roman" w:hAnsi="Century Gothic" w:cs="Times New Roman"/>
          <w:color w:val="000000" w:themeColor="text1"/>
          <w:sz w:val="20"/>
          <w:szCs w:val="20"/>
        </w:rPr>
        <w:t xml:space="preserve">(full-time?) </w:t>
      </w:r>
      <w:r w:rsidRPr="00A017F2">
        <w:rPr>
          <w:rFonts w:ascii="Century Gothic" w:eastAsia="Times New Roman" w:hAnsi="Century Gothic" w:cs="Times New Roman"/>
          <w:color w:val="000000" w:themeColor="text1"/>
          <w:sz w:val="20"/>
          <w:szCs w:val="20"/>
        </w:rPr>
        <w:t>paid employment.</w:t>
      </w:r>
      <w:r w:rsidRPr="00A017F2">
        <w:rPr>
          <w:rStyle w:val="FootnoteReference"/>
          <w:rFonts w:ascii="Century Gothic" w:eastAsia="Times New Roman" w:hAnsi="Century Gothic" w:cs="Times New Roman"/>
          <w:color w:val="000000" w:themeColor="text1"/>
          <w:sz w:val="20"/>
          <w:szCs w:val="20"/>
        </w:rPr>
        <w:footnoteReference w:id="2"/>
      </w:r>
    </w:p>
    <w:p w:rsidR="00176978" w:rsidRPr="00466B15" w:rsidRDefault="00176978" w:rsidP="00176978">
      <w:pPr>
        <w:rPr>
          <w:rFonts w:ascii="Times New Roman" w:eastAsia="Times New Roman" w:hAnsi="Times New Roman" w:cs="Times New Roman"/>
          <w:color w:val="000000" w:themeColor="text1"/>
          <w:sz w:val="15"/>
          <w:szCs w:val="15"/>
        </w:rPr>
      </w:pPr>
    </w:p>
    <w:p w:rsidR="00176978" w:rsidRDefault="0007650D" w:rsidP="00466B15">
      <w:pPr>
        <w:pStyle w:val="ListParagraph"/>
        <w:numPr>
          <w:ilvl w:val="0"/>
          <w:numId w:val="5"/>
        </w:numPr>
        <w:ind w:left="360"/>
        <w:rPr>
          <w:rFonts w:ascii="Century Gothic" w:eastAsia="Times New Roman" w:hAnsi="Century Gothic" w:cs="Times New Roman"/>
          <w:color w:val="000000" w:themeColor="text1"/>
          <w:sz w:val="20"/>
          <w:szCs w:val="20"/>
        </w:rPr>
      </w:pPr>
      <w:r w:rsidRPr="00A017F2">
        <w:rPr>
          <w:rFonts w:ascii="Century Gothic" w:eastAsia="Times New Roman" w:hAnsi="Century Gothic" w:cs="Times New Roman"/>
          <w:color w:val="000000" w:themeColor="text1"/>
          <w:sz w:val="20"/>
          <w:szCs w:val="20"/>
        </w:rPr>
        <w:t xml:space="preserve">Number of students placed </w:t>
      </w:r>
      <w:r w:rsidR="004B1877" w:rsidRPr="00A017F2">
        <w:rPr>
          <w:rFonts w:ascii="Century Gothic" w:eastAsia="Times New Roman" w:hAnsi="Century Gothic" w:cs="Times New Roman"/>
          <w:color w:val="000000" w:themeColor="text1"/>
          <w:sz w:val="20"/>
          <w:szCs w:val="20"/>
        </w:rPr>
        <w:t xml:space="preserve">in </w:t>
      </w:r>
      <w:r w:rsidR="00F41401">
        <w:rPr>
          <w:rFonts w:ascii="Century Gothic" w:eastAsia="Times New Roman" w:hAnsi="Century Gothic" w:cs="Times New Roman"/>
          <w:color w:val="000000" w:themeColor="text1"/>
          <w:sz w:val="20"/>
          <w:szCs w:val="20"/>
        </w:rPr>
        <w:t xml:space="preserve">(full-time?) </w:t>
      </w:r>
      <w:r w:rsidR="00CE16FE">
        <w:rPr>
          <w:rFonts w:ascii="Century Gothic" w:eastAsia="Times New Roman" w:hAnsi="Century Gothic" w:cs="Times New Roman"/>
          <w:color w:val="000000" w:themeColor="text1"/>
          <w:sz w:val="20"/>
          <w:szCs w:val="20"/>
        </w:rPr>
        <w:t xml:space="preserve">professional </w:t>
      </w:r>
      <w:r w:rsidR="004B1877" w:rsidRPr="00A017F2">
        <w:rPr>
          <w:rFonts w:ascii="Century Gothic" w:eastAsia="Times New Roman" w:hAnsi="Century Gothic" w:cs="Times New Roman"/>
          <w:color w:val="000000" w:themeColor="text1"/>
          <w:sz w:val="20"/>
          <w:szCs w:val="20"/>
        </w:rPr>
        <w:t xml:space="preserve">jobs by SWP </w:t>
      </w:r>
      <w:r w:rsidR="00A017F2">
        <w:rPr>
          <w:rFonts w:ascii="Century Gothic" w:eastAsia="Times New Roman" w:hAnsi="Century Gothic" w:cs="Times New Roman"/>
          <w:color w:val="000000" w:themeColor="text1"/>
          <w:sz w:val="20"/>
          <w:szCs w:val="20"/>
        </w:rPr>
        <w:t>J</w:t>
      </w:r>
      <w:r w:rsidR="004B1877" w:rsidRPr="00A017F2">
        <w:rPr>
          <w:rFonts w:ascii="Century Gothic" w:eastAsia="Times New Roman" w:hAnsi="Century Gothic" w:cs="Times New Roman"/>
          <w:color w:val="000000" w:themeColor="text1"/>
          <w:sz w:val="20"/>
          <w:szCs w:val="20"/>
        </w:rPr>
        <w:t xml:space="preserve">ob </w:t>
      </w:r>
      <w:r w:rsidR="00A017F2">
        <w:rPr>
          <w:rFonts w:ascii="Century Gothic" w:eastAsia="Times New Roman" w:hAnsi="Century Gothic" w:cs="Times New Roman"/>
          <w:color w:val="000000" w:themeColor="text1"/>
          <w:sz w:val="20"/>
          <w:szCs w:val="20"/>
        </w:rPr>
        <w:t>P</w:t>
      </w:r>
      <w:r w:rsidR="004B1877" w:rsidRPr="00A017F2">
        <w:rPr>
          <w:rFonts w:ascii="Century Gothic" w:eastAsia="Times New Roman" w:hAnsi="Century Gothic" w:cs="Times New Roman"/>
          <w:color w:val="000000" w:themeColor="text1"/>
          <w:sz w:val="20"/>
          <w:szCs w:val="20"/>
        </w:rPr>
        <w:t xml:space="preserve">lacement </w:t>
      </w:r>
      <w:r w:rsidR="00A017F2">
        <w:rPr>
          <w:rFonts w:ascii="Century Gothic" w:eastAsia="Times New Roman" w:hAnsi="Century Gothic" w:cs="Times New Roman"/>
          <w:color w:val="000000" w:themeColor="text1"/>
          <w:sz w:val="20"/>
          <w:szCs w:val="20"/>
        </w:rPr>
        <w:t>Case Managers</w:t>
      </w:r>
      <w:r w:rsidR="00951996" w:rsidRPr="00A017F2">
        <w:rPr>
          <w:rFonts w:ascii="Century Gothic" w:eastAsia="Times New Roman" w:hAnsi="Century Gothic" w:cs="Times New Roman"/>
          <w:color w:val="000000" w:themeColor="text1"/>
          <w:sz w:val="20"/>
          <w:szCs w:val="20"/>
        </w:rPr>
        <w:t>.</w:t>
      </w:r>
      <w:r w:rsidR="00756C7C" w:rsidRPr="00A017F2">
        <w:rPr>
          <w:rStyle w:val="FootnoteReference"/>
          <w:rFonts w:ascii="Century Gothic" w:eastAsia="Times New Roman" w:hAnsi="Century Gothic" w:cs="Times New Roman"/>
          <w:color w:val="000000" w:themeColor="text1"/>
          <w:sz w:val="20"/>
          <w:szCs w:val="20"/>
        </w:rPr>
        <w:footnoteReference w:id="3"/>
      </w:r>
    </w:p>
    <w:p w:rsidR="00466B15" w:rsidRPr="00466B15" w:rsidRDefault="00466B15" w:rsidP="00466B15">
      <w:pPr>
        <w:rPr>
          <w:rFonts w:ascii="Century Gothic" w:eastAsia="Times New Roman" w:hAnsi="Century Gothic" w:cs="Times New Roman"/>
          <w:color w:val="000000" w:themeColor="text1"/>
          <w:sz w:val="15"/>
          <w:szCs w:val="15"/>
        </w:rPr>
      </w:pPr>
    </w:p>
    <w:p w:rsidR="00176978" w:rsidRPr="00A017F2" w:rsidRDefault="0007650D" w:rsidP="00176978">
      <w:pPr>
        <w:pStyle w:val="ListParagraph"/>
        <w:numPr>
          <w:ilvl w:val="0"/>
          <w:numId w:val="5"/>
        </w:numPr>
        <w:ind w:left="360"/>
        <w:rPr>
          <w:rFonts w:ascii="Century Gothic" w:eastAsia="Times New Roman" w:hAnsi="Century Gothic" w:cs="Times New Roman"/>
          <w:color w:val="000000" w:themeColor="text1"/>
          <w:sz w:val="20"/>
          <w:szCs w:val="20"/>
        </w:rPr>
      </w:pPr>
      <w:r w:rsidRPr="00A017F2">
        <w:rPr>
          <w:rFonts w:ascii="Century Gothic" w:eastAsia="Times New Roman" w:hAnsi="Century Gothic" w:cs="Times New Roman"/>
          <w:color w:val="000000" w:themeColor="text1"/>
          <w:sz w:val="20"/>
          <w:szCs w:val="20"/>
        </w:rPr>
        <w:t>Number of faculty attending WBL professional development</w:t>
      </w:r>
      <w:r w:rsidR="00F41401">
        <w:rPr>
          <w:rFonts w:ascii="Century Gothic" w:eastAsia="Times New Roman" w:hAnsi="Century Gothic" w:cs="Times New Roman"/>
          <w:color w:val="000000" w:themeColor="text1"/>
          <w:sz w:val="20"/>
          <w:szCs w:val="20"/>
        </w:rPr>
        <w:t>.</w:t>
      </w:r>
      <w:r w:rsidRPr="00A017F2">
        <w:rPr>
          <w:rFonts w:ascii="Century Gothic" w:eastAsia="Times New Roman" w:hAnsi="Century Gothic" w:cs="Times New Roman"/>
          <w:color w:val="000000" w:themeColor="text1"/>
          <w:sz w:val="20"/>
          <w:szCs w:val="20"/>
        </w:rPr>
        <w:t xml:space="preserve"> </w:t>
      </w:r>
    </w:p>
    <w:p w:rsidR="005A125D" w:rsidRPr="00CE16FE" w:rsidRDefault="00176978" w:rsidP="00466B15">
      <w:pPr>
        <w:pStyle w:val="ListParagraph"/>
        <w:numPr>
          <w:ilvl w:val="0"/>
          <w:numId w:val="4"/>
        </w:numPr>
        <w:rPr>
          <w:rFonts w:ascii="Century Gothic" w:eastAsia="Times New Roman" w:hAnsi="Century Gothic" w:cs="Times New Roman"/>
          <w:color w:val="000000" w:themeColor="text1"/>
          <w:sz w:val="20"/>
          <w:szCs w:val="20"/>
        </w:rPr>
      </w:pPr>
      <w:r w:rsidRPr="00A017F2">
        <w:rPr>
          <w:rFonts w:ascii="Century Gothic" w:eastAsia="Times New Roman" w:hAnsi="Century Gothic" w:cs="Times New Roman"/>
          <w:color w:val="000000" w:themeColor="text1"/>
          <w:sz w:val="20"/>
          <w:szCs w:val="20"/>
        </w:rPr>
        <w:t>W</w:t>
      </w:r>
      <w:r w:rsidR="0007650D" w:rsidRPr="00A017F2">
        <w:rPr>
          <w:rFonts w:ascii="Century Gothic" w:eastAsia="Times New Roman" w:hAnsi="Century Gothic" w:cs="Times New Roman"/>
          <w:color w:val="000000" w:themeColor="text1"/>
          <w:sz w:val="20"/>
          <w:szCs w:val="20"/>
        </w:rPr>
        <w:t>ould have to be collected via r</w:t>
      </w:r>
      <w:r w:rsidRPr="00A017F2">
        <w:rPr>
          <w:rFonts w:ascii="Century Gothic" w:eastAsia="Times New Roman" w:hAnsi="Century Gothic" w:cs="Times New Roman"/>
          <w:color w:val="000000" w:themeColor="text1"/>
          <w:sz w:val="20"/>
          <w:szCs w:val="20"/>
        </w:rPr>
        <w:t>egistrations or sign-ins</w:t>
      </w:r>
      <w:r w:rsidR="00A85ED4" w:rsidRPr="00A017F2">
        <w:rPr>
          <w:rFonts w:ascii="Century Gothic" w:eastAsia="Times New Roman" w:hAnsi="Century Gothic" w:cs="Times New Roman"/>
          <w:color w:val="000000" w:themeColor="text1"/>
          <w:sz w:val="20"/>
          <w:szCs w:val="20"/>
        </w:rPr>
        <w:t>.</w:t>
      </w:r>
    </w:p>
    <w:sectPr w:rsidR="005A125D" w:rsidRPr="00CE16FE" w:rsidSect="00466B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389" w:rsidRDefault="00237389" w:rsidP="004B1877">
      <w:r>
        <w:separator/>
      </w:r>
    </w:p>
  </w:endnote>
  <w:endnote w:type="continuationSeparator" w:id="0">
    <w:p w:rsidR="00237389" w:rsidRDefault="00237389" w:rsidP="004B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389" w:rsidRDefault="00237389" w:rsidP="004B1877">
      <w:r>
        <w:separator/>
      </w:r>
    </w:p>
  </w:footnote>
  <w:footnote w:type="continuationSeparator" w:id="0">
    <w:p w:rsidR="00237389" w:rsidRDefault="00237389" w:rsidP="004B1877">
      <w:r>
        <w:continuationSeparator/>
      </w:r>
    </w:p>
  </w:footnote>
  <w:footnote w:id="1">
    <w:p w:rsidR="004B1877" w:rsidRPr="00FB1A2F" w:rsidRDefault="004B1877">
      <w:pPr>
        <w:pStyle w:val="FootnoteText"/>
      </w:pPr>
      <w:r w:rsidRPr="00FB1A2F">
        <w:rPr>
          <w:rStyle w:val="FootnoteReference"/>
        </w:rPr>
        <w:footnoteRef/>
      </w:r>
      <w:r w:rsidRPr="00FB1A2F">
        <w:t xml:space="preserve"> The latter two would be expected to increase from year to year </w:t>
      </w:r>
      <w:r w:rsidR="002D2EEE" w:rsidRPr="00FB1A2F">
        <w:t xml:space="preserve">only </w:t>
      </w:r>
      <w:r w:rsidRPr="00FB1A2F">
        <w:t>if there were greater demand in the economy</w:t>
      </w:r>
      <w:r w:rsidR="002D2EEE" w:rsidRPr="00FB1A2F">
        <w:t>, not due to greater support for WBL</w:t>
      </w:r>
      <w:r w:rsidRPr="00FB1A2F">
        <w:t xml:space="preserve">. That said, an increase due to economic demand would be considered “responsive” and therefore positive. </w:t>
      </w:r>
      <w:r w:rsidR="00756C7C" w:rsidRPr="00FB1A2F">
        <w:t xml:space="preserve">A “calibration” training with WBL coordinators </w:t>
      </w:r>
      <w:r w:rsidR="00756C7C" w:rsidRPr="00FB1A2F">
        <w:t xml:space="preserve">will be needed </w:t>
      </w:r>
      <w:r w:rsidR="00756C7C" w:rsidRPr="00FB1A2F">
        <w:t xml:space="preserve">to ensure consistency of definitions and data collection processes. </w:t>
      </w:r>
    </w:p>
  </w:footnote>
  <w:footnote w:id="2">
    <w:p w:rsidR="002D6D2F" w:rsidRPr="00FB1A2F" w:rsidRDefault="002D6D2F" w:rsidP="00CE16FE">
      <w:pPr>
        <w:rPr>
          <w:rFonts w:ascii="Times New Roman" w:eastAsia="Times New Roman" w:hAnsi="Times New Roman" w:cs="Times New Roman"/>
          <w:sz w:val="20"/>
          <w:szCs w:val="20"/>
        </w:rPr>
      </w:pPr>
      <w:r w:rsidRPr="00FB1A2F">
        <w:rPr>
          <w:rStyle w:val="FootnoteReference"/>
          <w:sz w:val="20"/>
          <w:szCs w:val="20"/>
        </w:rPr>
        <w:footnoteRef/>
      </w:r>
      <w:r w:rsidRPr="00FB1A2F">
        <w:rPr>
          <w:sz w:val="20"/>
          <w:szCs w:val="20"/>
        </w:rPr>
        <w:t xml:space="preserve"> </w:t>
      </w:r>
      <w:r w:rsidR="00D140DD" w:rsidRPr="00FB1A2F">
        <w:rPr>
          <w:sz w:val="20"/>
          <w:szCs w:val="20"/>
        </w:rPr>
        <w:t>To be discussed, should c</w:t>
      </w:r>
      <w:r w:rsidRPr="00FB1A2F">
        <w:rPr>
          <w:sz w:val="20"/>
          <w:szCs w:val="20"/>
        </w:rPr>
        <w:t xml:space="preserve">o-operative work experience converting to </w:t>
      </w:r>
      <w:r w:rsidR="00F41401" w:rsidRPr="00FB1A2F">
        <w:rPr>
          <w:sz w:val="20"/>
          <w:szCs w:val="20"/>
        </w:rPr>
        <w:t xml:space="preserve">full-time </w:t>
      </w:r>
      <w:r w:rsidRPr="00FB1A2F">
        <w:rPr>
          <w:sz w:val="20"/>
          <w:szCs w:val="20"/>
        </w:rPr>
        <w:t>job</w:t>
      </w:r>
      <w:r w:rsidR="00D140DD" w:rsidRPr="00FB1A2F">
        <w:rPr>
          <w:sz w:val="20"/>
          <w:szCs w:val="20"/>
        </w:rPr>
        <w:t xml:space="preserve">s also be counted, if the student was already working when enrolling in the co-op experience?  </w:t>
      </w:r>
      <w:r w:rsidR="00F41401" w:rsidRPr="00FB1A2F">
        <w:rPr>
          <w:sz w:val="20"/>
          <w:szCs w:val="20"/>
        </w:rPr>
        <w:t>If so, s</w:t>
      </w:r>
      <w:r w:rsidR="00D140DD" w:rsidRPr="00FB1A2F">
        <w:rPr>
          <w:sz w:val="20"/>
          <w:szCs w:val="20"/>
        </w:rPr>
        <w:t xml:space="preserve">hould some level of career advancement as a result of the co-op be demonstrated? </w:t>
      </w:r>
      <w:r w:rsidR="00CE16FE" w:rsidRPr="00FB1A2F">
        <w:rPr>
          <w:sz w:val="20"/>
          <w:szCs w:val="20"/>
        </w:rPr>
        <w:t>See CEW report:</w:t>
      </w:r>
      <w:r w:rsidR="00CE16FE" w:rsidRPr="00FB1A2F">
        <w:rPr>
          <w:rFonts w:ascii="Times New Roman" w:eastAsia="Times New Roman" w:hAnsi="Times New Roman" w:cs="Times New Roman"/>
          <w:color w:val="000000"/>
          <w:sz w:val="20"/>
          <w:szCs w:val="20"/>
          <w:shd w:val="clear" w:color="auto" w:fill="FFFFFF"/>
        </w:rPr>
        <w:t> </w:t>
      </w:r>
      <w:hyperlink r:id="rId1" w:tgtFrame="_blank" w:history="1">
        <w:r w:rsidR="00CE16FE" w:rsidRPr="00FB1A2F">
          <w:rPr>
            <w:rFonts w:ascii="Times New Roman" w:eastAsia="Times New Roman" w:hAnsi="Times New Roman" w:cs="Times New Roman"/>
            <w:i/>
            <w:iCs/>
            <w:color w:val="174985"/>
            <w:sz w:val="20"/>
            <w:szCs w:val="20"/>
            <w:u w:val="single"/>
            <w:shd w:val="clear" w:color="auto" w:fill="FFFFFF"/>
          </w:rPr>
          <w:t>Balancing Work and Learning: Implications for Low-Income Students</w:t>
        </w:r>
      </w:hyperlink>
    </w:p>
  </w:footnote>
  <w:footnote w:id="3">
    <w:p w:rsidR="002D2EEE" w:rsidRPr="00FB1A2F" w:rsidRDefault="00756C7C">
      <w:pPr>
        <w:pStyle w:val="FootnoteText"/>
      </w:pPr>
      <w:r w:rsidRPr="00FB1A2F">
        <w:rPr>
          <w:rStyle w:val="FootnoteReference"/>
        </w:rPr>
        <w:footnoteRef/>
      </w:r>
      <w:r w:rsidRPr="00FB1A2F">
        <w:t xml:space="preserve"> The full number of students employed and retaining employment will be picked up by Launchboard through UI records.  This is just the leading indicator specifically related to the intervention we are proposing—a Job Placement Case Manager</w:t>
      </w:r>
      <w:r w:rsidR="00A84160" w:rsidRPr="00FB1A2F">
        <w:t xml:space="preserve"> to support students in finding work</w:t>
      </w:r>
      <w:r w:rsidR="00853D14" w:rsidRPr="00FB1A2F">
        <w:t>.</w:t>
      </w:r>
      <w:r w:rsidR="002D2EEE" w:rsidRPr="00FB1A2F">
        <w:t xml:space="preserve">  </w:t>
      </w:r>
    </w:p>
    <w:p w:rsidR="00756C7C" w:rsidRPr="00FB1A2F" w:rsidRDefault="008153CF">
      <w:pPr>
        <w:pStyle w:val="FootnoteText"/>
      </w:pPr>
      <w:r w:rsidRPr="00FB1A2F">
        <w:t>--</w:t>
      </w:r>
      <w:r w:rsidR="002D2EEE" w:rsidRPr="00FB1A2F">
        <w:t>WestEd r</w:t>
      </w:r>
      <w:r w:rsidR="002D2EEE" w:rsidRPr="00FB1A2F">
        <w:t>ecommend</w:t>
      </w:r>
      <w:r w:rsidR="002D2EEE" w:rsidRPr="00FB1A2F">
        <w:t>s</w:t>
      </w:r>
      <w:r w:rsidR="002D2EEE" w:rsidRPr="00FB1A2F">
        <w:t xml:space="preserve"> that campus jobs </w:t>
      </w:r>
      <w:r w:rsidR="002D2EEE" w:rsidRPr="00FB1A2F">
        <w:rPr>
          <w:u w:val="single"/>
        </w:rPr>
        <w:t>not</w:t>
      </w:r>
      <w:r w:rsidR="002D2EEE" w:rsidRPr="00FB1A2F">
        <w:t xml:space="preserve"> be included as this is a strategy limited by campus offerings and not a strategy that SWP is striving to expand</w:t>
      </w:r>
      <w:r w:rsidR="00FB1A2F" w:rsidRPr="00FB1A2F">
        <w:t xml:space="preserve">, </w:t>
      </w:r>
      <w:r w:rsidR="00FB1A2F" w:rsidRPr="00FB1A2F">
        <w:rPr>
          <w:i/>
        </w:rPr>
        <w:t>per se</w:t>
      </w:r>
      <w:r w:rsidR="00A017F2" w:rsidRPr="00FB1A2F">
        <w:t>.</w:t>
      </w:r>
      <w:r w:rsidR="002D2EEE" w:rsidRPr="00FB1A2F">
        <w:t xml:space="preserve"> Alternatively, </w:t>
      </w:r>
      <w:r w:rsidR="00A017F2" w:rsidRPr="00FB1A2F">
        <w:t>WG 4 may want to recommend</w:t>
      </w:r>
      <w:r w:rsidRPr="00FB1A2F">
        <w:t xml:space="preserve"> including all types of </w:t>
      </w:r>
      <w:r w:rsidR="002D2EEE" w:rsidRPr="00FB1A2F">
        <w:t>jobs, such as those discussed on the 22</w:t>
      </w:r>
      <w:r w:rsidR="002D2EEE" w:rsidRPr="00FB1A2F">
        <w:rPr>
          <w:vertAlign w:val="superscript"/>
        </w:rPr>
        <w:t>nd</w:t>
      </w:r>
      <w:r w:rsidR="002D2EEE" w:rsidRPr="00FB1A2F">
        <w:t xml:space="preserve">, including </w:t>
      </w:r>
      <w:r w:rsidR="00FB1A2F" w:rsidRPr="00FB1A2F">
        <w:t>campus jobs, as well as college-funded off-</w:t>
      </w:r>
      <w:r w:rsidR="002D2EEE" w:rsidRPr="00FB1A2F">
        <w:t>campus</w:t>
      </w:r>
      <w:r w:rsidR="00FB1A2F" w:rsidRPr="00FB1A2F">
        <w:t xml:space="preserve"> jobs</w:t>
      </w:r>
      <w:r w:rsidR="002D2EEE" w:rsidRPr="00FB1A2F">
        <w:t xml:space="preserve">, assuming these are jobs.  </w:t>
      </w:r>
      <w:r w:rsidR="00FB1A2F" w:rsidRPr="00FB1A2F">
        <w:t>Those that</w:t>
      </w:r>
      <w:r w:rsidR="002D2EEE" w:rsidRPr="00FB1A2F">
        <w:t xml:space="preserve"> are more like paid internships or co-op experiences</w:t>
      </w:r>
      <w:r w:rsidR="00712970" w:rsidRPr="00FB1A2F">
        <w:t xml:space="preserve"> intended to support learning</w:t>
      </w:r>
      <w:r w:rsidR="002D2EEE" w:rsidRPr="00FB1A2F">
        <w:t xml:space="preserve"> would be counted as WBL.  </w:t>
      </w:r>
    </w:p>
    <w:p w:rsidR="00092F23" w:rsidRPr="00FB1A2F" w:rsidRDefault="008153CF">
      <w:pPr>
        <w:pStyle w:val="FootnoteText"/>
      </w:pPr>
      <w:r w:rsidRPr="00FB1A2F">
        <w:t>--</w:t>
      </w:r>
      <w:r w:rsidR="002D2EEE" w:rsidRPr="00FB1A2F">
        <w:t xml:space="preserve">The idea is to measure what </w:t>
      </w:r>
      <w:r w:rsidRPr="00FB1A2F">
        <w:t>SWP is</w:t>
      </w:r>
      <w:r w:rsidR="002D2EEE" w:rsidRPr="00FB1A2F">
        <w:t xml:space="preserve"> trying to impact.  </w:t>
      </w:r>
    </w:p>
    <w:p w:rsidR="002D2EEE" w:rsidRPr="00FB1A2F" w:rsidRDefault="008153CF">
      <w:pPr>
        <w:pStyle w:val="FootnoteText"/>
      </w:pPr>
      <w:r w:rsidRPr="00FB1A2F">
        <w:t>--</w:t>
      </w:r>
      <w:r w:rsidR="00466B15" w:rsidRPr="00FB1A2F">
        <w:t>T</w:t>
      </w:r>
      <w:r w:rsidR="00092F23" w:rsidRPr="00FB1A2F">
        <w:t xml:space="preserve">here was significant discussion about whether the Job Placement Case Managers were primarily responsible for placement or </w:t>
      </w:r>
      <w:r w:rsidR="00092F23" w:rsidRPr="00FB1A2F">
        <w:rPr>
          <w:u w:val="single"/>
        </w:rPr>
        <w:t>preparation</w:t>
      </w:r>
      <w:r w:rsidR="00092F23" w:rsidRPr="00FB1A2F">
        <w:t xml:space="preserve"> for placement.  Preparatory activities could be captured under #4. The aim of the JPCM is to actually place the student.  WG members warned that the focus on placement shouldn’t provide an incentive to place students in jobs </w:t>
      </w:r>
      <w:r w:rsidRPr="00FB1A2F">
        <w:t>in cases where</w:t>
      </w:r>
      <w:r w:rsidR="00092F23" w:rsidRPr="00FB1A2F">
        <w:t xml:space="preserve"> other options </w:t>
      </w:r>
      <w:r w:rsidRPr="00FB1A2F">
        <w:t>may</w:t>
      </w:r>
      <w:r w:rsidR="00092F23" w:rsidRPr="00FB1A2F">
        <w:t xml:space="preserve"> actually </w:t>
      </w:r>
      <w:r w:rsidRPr="00FB1A2F">
        <w:t xml:space="preserve">be </w:t>
      </w:r>
      <w:r w:rsidR="00092F23" w:rsidRPr="00FB1A2F">
        <w:t>better for the student</w:t>
      </w:r>
      <w:r w:rsidR="00951996" w:rsidRPr="00FB1A2F">
        <w:t xml:space="preserve"> long-term</w:t>
      </w:r>
      <w:r w:rsidR="00092F23" w:rsidRPr="00FB1A2F">
        <w:t xml:space="preserve">.  </w:t>
      </w:r>
      <w:r w:rsidRPr="00FB1A2F">
        <w:t xml:space="preserve">Merits further discussion and/or crafting of the metric in a way that avoids unintended consequences. </w:t>
      </w:r>
      <w:r w:rsidR="00FB1A2F">
        <w:t xml:space="preserve"> CEW report relevant here.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3FD3"/>
    <w:multiLevelType w:val="hybridMultilevel"/>
    <w:tmpl w:val="9F2E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80390"/>
    <w:multiLevelType w:val="hybridMultilevel"/>
    <w:tmpl w:val="ABE6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90694"/>
    <w:multiLevelType w:val="hybridMultilevel"/>
    <w:tmpl w:val="D3AAB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72CBC"/>
    <w:multiLevelType w:val="hybridMultilevel"/>
    <w:tmpl w:val="A89AA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C2665"/>
    <w:multiLevelType w:val="hybridMultilevel"/>
    <w:tmpl w:val="4CFA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05EA5"/>
    <w:multiLevelType w:val="hybridMultilevel"/>
    <w:tmpl w:val="6DA2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0D"/>
    <w:rsid w:val="0007650D"/>
    <w:rsid w:val="00092F23"/>
    <w:rsid w:val="00145ABC"/>
    <w:rsid w:val="00176978"/>
    <w:rsid w:val="001B4729"/>
    <w:rsid w:val="00237389"/>
    <w:rsid w:val="002D2EEE"/>
    <w:rsid w:val="002D6D2F"/>
    <w:rsid w:val="003E675A"/>
    <w:rsid w:val="00466B15"/>
    <w:rsid w:val="004B1877"/>
    <w:rsid w:val="00553AD4"/>
    <w:rsid w:val="005739D6"/>
    <w:rsid w:val="00712970"/>
    <w:rsid w:val="00756C7C"/>
    <w:rsid w:val="00762F63"/>
    <w:rsid w:val="008153CF"/>
    <w:rsid w:val="00853D14"/>
    <w:rsid w:val="00951996"/>
    <w:rsid w:val="009C6C4D"/>
    <w:rsid w:val="00A017F2"/>
    <w:rsid w:val="00A7175F"/>
    <w:rsid w:val="00A84160"/>
    <w:rsid w:val="00A85ED4"/>
    <w:rsid w:val="00A92A64"/>
    <w:rsid w:val="00AD3C88"/>
    <w:rsid w:val="00B36199"/>
    <w:rsid w:val="00B363F1"/>
    <w:rsid w:val="00CE16FE"/>
    <w:rsid w:val="00D140DD"/>
    <w:rsid w:val="00F41401"/>
    <w:rsid w:val="00FB1A2F"/>
    <w:rsid w:val="00FC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AB894"/>
  <w14:defaultImageDpi w14:val="32767"/>
  <w15:chartTrackingRefBased/>
  <w15:docId w15:val="{AB3EF215-8DFC-CF46-8659-D883C37E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650D"/>
  </w:style>
  <w:style w:type="paragraph" w:styleId="ListParagraph">
    <w:name w:val="List Paragraph"/>
    <w:basedOn w:val="Normal"/>
    <w:uiPriority w:val="34"/>
    <w:qFormat/>
    <w:rsid w:val="0007650D"/>
    <w:pPr>
      <w:ind w:left="720"/>
      <w:contextualSpacing/>
    </w:pPr>
  </w:style>
  <w:style w:type="paragraph" w:styleId="BalloonText">
    <w:name w:val="Balloon Text"/>
    <w:basedOn w:val="Normal"/>
    <w:link w:val="BalloonTextChar"/>
    <w:uiPriority w:val="99"/>
    <w:semiHidden/>
    <w:unhideWhenUsed/>
    <w:rsid w:val="005739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39D6"/>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B1877"/>
    <w:rPr>
      <w:sz w:val="20"/>
      <w:szCs w:val="20"/>
    </w:rPr>
  </w:style>
  <w:style w:type="character" w:customStyle="1" w:styleId="FootnoteTextChar">
    <w:name w:val="Footnote Text Char"/>
    <w:basedOn w:val="DefaultParagraphFont"/>
    <w:link w:val="FootnoteText"/>
    <w:uiPriority w:val="99"/>
    <w:semiHidden/>
    <w:rsid w:val="004B1877"/>
    <w:rPr>
      <w:sz w:val="20"/>
      <w:szCs w:val="20"/>
    </w:rPr>
  </w:style>
  <w:style w:type="character" w:styleId="FootnoteReference">
    <w:name w:val="footnote reference"/>
    <w:basedOn w:val="DefaultParagraphFont"/>
    <w:uiPriority w:val="99"/>
    <w:semiHidden/>
    <w:unhideWhenUsed/>
    <w:rsid w:val="004B1877"/>
    <w:rPr>
      <w:vertAlign w:val="superscript"/>
    </w:rPr>
  </w:style>
  <w:style w:type="paragraph" w:styleId="Header">
    <w:name w:val="header"/>
    <w:basedOn w:val="Normal"/>
    <w:link w:val="HeaderChar"/>
    <w:uiPriority w:val="99"/>
    <w:unhideWhenUsed/>
    <w:rsid w:val="00951996"/>
    <w:pPr>
      <w:tabs>
        <w:tab w:val="center" w:pos="4680"/>
        <w:tab w:val="right" w:pos="9360"/>
      </w:tabs>
    </w:pPr>
  </w:style>
  <w:style w:type="character" w:customStyle="1" w:styleId="HeaderChar">
    <w:name w:val="Header Char"/>
    <w:basedOn w:val="DefaultParagraphFont"/>
    <w:link w:val="Header"/>
    <w:uiPriority w:val="99"/>
    <w:rsid w:val="00951996"/>
  </w:style>
  <w:style w:type="paragraph" w:styleId="Footer">
    <w:name w:val="footer"/>
    <w:basedOn w:val="Normal"/>
    <w:link w:val="FooterChar"/>
    <w:uiPriority w:val="99"/>
    <w:unhideWhenUsed/>
    <w:rsid w:val="00951996"/>
    <w:pPr>
      <w:tabs>
        <w:tab w:val="center" w:pos="4680"/>
        <w:tab w:val="right" w:pos="9360"/>
      </w:tabs>
    </w:pPr>
  </w:style>
  <w:style w:type="character" w:customStyle="1" w:styleId="FooterChar">
    <w:name w:val="Footer Char"/>
    <w:basedOn w:val="DefaultParagraphFont"/>
    <w:link w:val="Footer"/>
    <w:uiPriority w:val="99"/>
    <w:rsid w:val="00951996"/>
  </w:style>
  <w:style w:type="character" w:styleId="Emphasis">
    <w:name w:val="Emphasis"/>
    <w:basedOn w:val="DefaultParagraphFont"/>
    <w:uiPriority w:val="20"/>
    <w:qFormat/>
    <w:rsid w:val="00CE16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56071">
      <w:bodyDiv w:val="1"/>
      <w:marLeft w:val="0"/>
      <w:marRight w:val="0"/>
      <w:marTop w:val="0"/>
      <w:marBottom w:val="0"/>
      <w:divBdr>
        <w:top w:val="none" w:sz="0" w:space="0" w:color="auto"/>
        <w:left w:val="none" w:sz="0" w:space="0" w:color="auto"/>
        <w:bottom w:val="none" w:sz="0" w:space="0" w:color="auto"/>
        <w:right w:val="none" w:sz="0" w:space="0" w:color="auto"/>
      </w:divBdr>
    </w:div>
    <w:div w:id="1520194950">
      <w:bodyDiv w:val="1"/>
      <w:marLeft w:val="0"/>
      <w:marRight w:val="0"/>
      <w:marTop w:val="0"/>
      <w:marBottom w:val="0"/>
      <w:divBdr>
        <w:top w:val="none" w:sz="0" w:space="0" w:color="auto"/>
        <w:left w:val="none" w:sz="0" w:space="0" w:color="auto"/>
        <w:bottom w:val="none" w:sz="0" w:space="0" w:color="auto"/>
        <w:right w:val="none" w:sz="0" w:space="0" w:color="auto"/>
      </w:divBdr>
    </w:div>
    <w:div w:id="2106490711">
      <w:bodyDiv w:val="1"/>
      <w:marLeft w:val="0"/>
      <w:marRight w:val="0"/>
      <w:marTop w:val="0"/>
      <w:marBottom w:val="0"/>
      <w:divBdr>
        <w:top w:val="none" w:sz="0" w:space="0" w:color="auto"/>
        <w:left w:val="none" w:sz="0" w:space="0" w:color="auto"/>
        <w:bottom w:val="none" w:sz="0" w:space="0" w:color="auto"/>
        <w:right w:val="none" w:sz="0" w:space="0" w:color="auto"/>
      </w:divBdr>
      <w:divsChild>
        <w:div w:id="213124284">
          <w:marLeft w:val="0"/>
          <w:marRight w:val="0"/>
          <w:marTop w:val="0"/>
          <w:marBottom w:val="0"/>
          <w:divBdr>
            <w:top w:val="none" w:sz="0" w:space="0" w:color="auto"/>
            <w:left w:val="none" w:sz="0" w:space="0" w:color="auto"/>
            <w:bottom w:val="none" w:sz="0" w:space="0" w:color="auto"/>
            <w:right w:val="none" w:sz="0" w:space="0" w:color="auto"/>
          </w:divBdr>
        </w:div>
        <w:div w:id="534850305">
          <w:marLeft w:val="720"/>
          <w:marRight w:val="0"/>
          <w:marTop w:val="0"/>
          <w:marBottom w:val="0"/>
          <w:divBdr>
            <w:top w:val="none" w:sz="0" w:space="0" w:color="auto"/>
            <w:left w:val="none" w:sz="0" w:space="0" w:color="auto"/>
            <w:bottom w:val="none" w:sz="0" w:space="0" w:color="auto"/>
            <w:right w:val="none" w:sz="0" w:space="0" w:color="auto"/>
          </w:divBdr>
        </w:div>
        <w:div w:id="1445345449">
          <w:marLeft w:val="720"/>
          <w:marRight w:val="0"/>
          <w:marTop w:val="0"/>
          <w:marBottom w:val="0"/>
          <w:divBdr>
            <w:top w:val="none" w:sz="0" w:space="0" w:color="auto"/>
            <w:left w:val="none" w:sz="0" w:space="0" w:color="auto"/>
            <w:bottom w:val="none" w:sz="0" w:space="0" w:color="auto"/>
            <w:right w:val="none" w:sz="0" w:space="0" w:color="auto"/>
          </w:divBdr>
        </w:div>
        <w:div w:id="1241524834">
          <w:marLeft w:val="720"/>
          <w:marRight w:val="0"/>
          <w:marTop w:val="0"/>
          <w:marBottom w:val="0"/>
          <w:divBdr>
            <w:top w:val="none" w:sz="0" w:space="0" w:color="auto"/>
            <w:left w:val="none" w:sz="0" w:space="0" w:color="auto"/>
            <w:bottom w:val="none" w:sz="0" w:space="0" w:color="auto"/>
            <w:right w:val="none" w:sz="0" w:space="0" w:color="auto"/>
          </w:divBdr>
        </w:div>
        <w:div w:id="400562179">
          <w:marLeft w:val="720"/>
          <w:marRight w:val="0"/>
          <w:marTop w:val="0"/>
          <w:marBottom w:val="0"/>
          <w:divBdr>
            <w:top w:val="none" w:sz="0" w:space="0" w:color="auto"/>
            <w:left w:val="none" w:sz="0" w:space="0" w:color="auto"/>
            <w:bottom w:val="none" w:sz="0" w:space="0" w:color="auto"/>
            <w:right w:val="none" w:sz="0" w:space="0" w:color="auto"/>
          </w:divBdr>
        </w:div>
        <w:div w:id="666517184">
          <w:marLeft w:val="720"/>
          <w:marRight w:val="0"/>
          <w:marTop w:val="0"/>
          <w:marBottom w:val="0"/>
          <w:divBdr>
            <w:top w:val="none" w:sz="0" w:space="0" w:color="auto"/>
            <w:left w:val="none" w:sz="0" w:space="0" w:color="auto"/>
            <w:bottom w:val="none" w:sz="0" w:space="0" w:color="auto"/>
            <w:right w:val="none" w:sz="0" w:space="0" w:color="auto"/>
          </w:divBdr>
        </w:div>
        <w:div w:id="1696884040">
          <w:marLeft w:val="720"/>
          <w:marRight w:val="0"/>
          <w:marTop w:val="0"/>
          <w:marBottom w:val="0"/>
          <w:divBdr>
            <w:top w:val="none" w:sz="0" w:space="0" w:color="auto"/>
            <w:left w:val="none" w:sz="0" w:space="0" w:color="auto"/>
            <w:bottom w:val="none" w:sz="0" w:space="0" w:color="auto"/>
            <w:right w:val="none" w:sz="0" w:space="0" w:color="auto"/>
          </w:divBdr>
        </w:div>
        <w:div w:id="655379488">
          <w:marLeft w:val="720"/>
          <w:marRight w:val="0"/>
          <w:marTop w:val="0"/>
          <w:marBottom w:val="0"/>
          <w:divBdr>
            <w:top w:val="none" w:sz="0" w:space="0" w:color="auto"/>
            <w:left w:val="none" w:sz="0" w:space="0" w:color="auto"/>
            <w:bottom w:val="none" w:sz="0" w:space="0" w:color="auto"/>
            <w:right w:val="none" w:sz="0" w:space="0" w:color="auto"/>
          </w:divBdr>
        </w:div>
      </w:divsChild>
    </w:div>
    <w:div w:id="21229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georgetown.us3.list-manage.com/track/click?u=17c35e53c623b1a2893b0190c&amp;id=f126a3bb01&amp;e=dcb4254a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Darche</dc:creator>
  <cp:keywords/>
  <dc:description/>
  <cp:lastModifiedBy>Svetlana Darche</cp:lastModifiedBy>
  <cp:revision>5</cp:revision>
  <cp:lastPrinted>2018-08-28T05:32:00Z</cp:lastPrinted>
  <dcterms:created xsi:type="dcterms:W3CDTF">2018-08-28T05:18:00Z</dcterms:created>
  <dcterms:modified xsi:type="dcterms:W3CDTF">2018-08-28T15:45:00Z</dcterms:modified>
</cp:coreProperties>
</file>