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CEC" w:rsidRDefault="007F3CEC">
      <w:pPr>
        <w:tabs>
          <w:tab w:val="left" w:pos="4073"/>
        </w:tabs>
        <w:jc w:val="center"/>
        <w:rPr>
          <w:b/>
        </w:rPr>
      </w:pPr>
      <w:r w:rsidRPr="00A65A07">
        <w:rPr>
          <w:noProof/>
        </w:rPr>
        <w:drawing>
          <wp:inline distT="0" distB="0" distL="0" distR="0" wp14:anchorId="52BC1EDD" wp14:editId="15F8EDB6">
            <wp:extent cx="2238375" cy="1112486"/>
            <wp:effectExtent l="0" t="0" r="0" b="0"/>
            <wp:docPr id="1" name="Picture 1" descr="C:\Users\Molly.Ash\Dropbox (SDIC RC)\Regional Consortium 17-18\SWP Marketing\Logos\CESDIMP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ly.Ash\Dropbox (SDIC RC)\Regional Consortium 17-18\SWP Marketing\Logos\CESDIMP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566" cy="112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7CC" w:rsidRDefault="00C71731">
      <w:pPr>
        <w:tabs>
          <w:tab w:val="left" w:pos="4073"/>
        </w:tabs>
        <w:jc w:val="center"/>
        <w:rPr>
          <w:b/>
        </w:rPr>
      </w:pPr>
      <w:r>
        <w:rPr>
          <w:b/>
        </w:rPr>
        <w:t>Goals and Leading Indicators</w:t>
      </w:r>
    </w:p>
    <w:p w:rsidR="008B47CC" w:rsidRDefault="00C71731">
      <w:pPr>
        <w:tabs>
          <w:tab w:val="left" w:pos="4073"/>
        </w:tabs>
        <w:jc w:val="center"/>
        <w:rPr>
          <w:b/>
        </w:rPr>
      </w:pPr>
      <w:r>
        <w:rPr>
          <w:b/>
        </w:rPr>
        <w:t xml:space="preserve">Workgroup #2 Middle School/High School Engagement </w:t>
      </w:r>
    </w:p>
    <w:p w:rsidR="008B47CC" w:rsidRDefault="00C71731">
      <w:pPr>
        <w:tabs>
          <w:tab w:val="left" w:pos="4073"/>
        </w:tabs>
        <w:jc w:val="center"/>
        <w:rPr>
          <w:b/>
        </w:rPr>
      </w:pPr>
      <w:r>
        <w:rPr>
          <w:b/>
        </w:rPr>
        <w:t xml:space="preserve">Draft September </w:t>
      </w:r>
      <w:r w:rsidR="001120F5">
        <w:rPr>
          <w:b/>
        </w:rPr>
        <w:t>12,</w:t>
      </w:r>
      <w:r>
        <w:rPr>
          <w:b/>
        </w:rPr>
        <w:t xml:space="preserve"> 2018</w:t>
      </w:r>
    </w:p>
    <w:p w:rsidR="008B47CC" w:rsidRDefault="008B47CC">
      <w:pPr>
        <w:tabs>
          <w:tab w:val="left" w:pos="4073"/>
        </w:tabs>
        <w:rPr>
          <w:highlight w:val="yellow"/>
        </w:rPr>
      </w:pPr>
    </w:p>
    <w:p w:rsidR="008B47CC" w:rsidRDefault="008B47CC">
      <w:pPr>
        <w:tabs>
          <w:tab w:val="left" w:pos="4073"/>
        </w:tabs>
        <w:rPr>
          <w:highlight w:val="yellow"/>
        </w:rPr>
      </w:pPr>
    </w:p>
    <w:p w:rsidR="008B47CC" w:rsidRDefault="00C71731">
      <w:pPr>
        <w:rPr>
          <w:sz w:val="20"/>
          <w:szCs w:val="20"/>
        </w:rPr>
      </w:pPr>
      <w:r>
        <w:rPr>
          <w:b/>
          <w:sz w:val="20"/>
          <w:szCs w:val="20"/>
        </w:rPr>
        <w:t>Purpose:</w:t>
      </w:r>
      <w:r>
        <w:rPr>
          <w:sz w:val="20"/>
          <w:szCs w:val="20"/>
        </w:rPr>
        <w:t xml:space="preserve"> The purpose of this workgroup is to develop goals, strategies and activities that will better prepare K-12 students for community college through robust career exploration, engagement, and exposure. The activities will also ensure that parents and educators are part of the student preparation process, and </w:t>
      </w:r>
      <w:proofErr w:type="gramStart"/>
      <w:r>
        <w:rPr>
          <w:sz w:val="20"/>
          <w:szCs w:val="20"/>
        </w:rPr>
        <w:t>are made</w:t>
      </w:r>
      <w:proofErr w:type="gramEnd"/>
      <w:r>
        <w:rPr>
          <w:sz w:val="20"/>
          <w:szCs w:val="20"/>
        </w:rPr>
        <w:t xml:space="preserve"> aware of the countless high-wage, high-demand jobs available for students.</w:t>
      </w:r>
    </w:p>
    <w:p w:rsidR="008B47CC" w:rsidRDefault="008B47CC">
      <w:pPr>
        <w:rPr>
          <w:b/>
          <w:sz w:val="20"/>
          <w:szCs w:val="20"/>
        </w:rPr>
      </w:pPr>
    </w:p>
    <w:p w:rsidR="008B47CC" w:rsidRDefault="00C71731">
      <w:pPr>
        <w:rPr>
          <w:sz w:val="20"/>
          <w:szCs w:val="20"/>
        </w:rPr>
      </w:pPr>
      <w:r>
        <w:rPr>
          <w:b/>
          <w:sz w:val="20"/>
          <w:szCs w:val="20"/>
        </w:rPr>
        <w:t>Outcomes:</w:t>
      </w:r>
      <w:r>
        <w:rPr>
          <w:sz w:val="20"/>
          <w:szCs w:val="20"/>
        </w:rPr>
        <w:t xml:space="preserve"> The goals strategies and activities will increase middle and high school students’ knowledge of career opportunities, improve 21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-Century Skills, and better engage young students in career preparation to strengthen the pipeline of students prepared for middle skills jobs and pr</w:t>
      </w:r>
      <w:bookmarkStart w:id="0" w:name="_GoBack"/>
      <w:bookmarkEnd w:id="0"/>
      <w:r>
        <w:rPr>
          <w:sz w:val="20"/>
          <w:szCs w:val="20"/>
        </w:rPr>
        <w:t xml:space="preserve">eparation for sustainable careers.   In addition, educators will gain further understanding of the importance of career development over the grade and age spans and thereby will be able to support a growing number of students. Parents will also gain insights that will enable them to better support their children, and </w:t>
      </w:r>
      <w:proofErr w:type="gramStart"/>
      <w:r>
        <w:rPr>
          <w:sz w:val="20"/>
          <w:szCs w:val="20"/>
        </w:rPr>
        <w:t>may also</w:t>
      </w:r>
      <w:proofErr w:type="gramEnd"/>
      <w:r>
        <w:rPr>
          <w:sz w:val="20"/>
          <w:szCs w:val="20"/>
        </w:rPr>
        <w:t xml:space="preserve"> benefit themselves.  </w:t>
      </w:r>
    </w:p>
    <w:p w:rsidR="008B47CC" w:rsidRDefault="008B47CC">
      <w:pPr>
        <w:rPr>
          <w:sz w:val="20"/>
          <w:szCs w:val="20"/>
        </w:rPr>
      </w:pPr>
    </w:p>
    <w:p w:rsidR="008B47CC" w:rsidRDefault="00C71731">
      <w:pPr>
        <w:rPr>
          <w:sz w:val="20"/>
          <w:szCs w:val="20"/>
        </w:rPr>
      </w:pPr>
      <w:r>
        <w:rPr>
          <w:b/>
          <w:sz w:val="20"/>
          <w:szCs w:val="20"/>
        </w:rPr>
        <w:t>Goal</w:t>
      </w:r>
      <w:r>
        <w:rPr>
          <w:sz w:val="20"/>
          <w:szCs w:val="20"/>
        </w:rPr>
        <w:t>: Build strategies for career awareness and exploration at each grade level beginning in middle school, including exposure to post-secondary options.</w:t>
      </w:r>
    </w:p>
    <w:p w:rsidR="008B47CC" w:rsidRDefault="008B47CC">
      <w:pPr>
        <w:rPr>
          <w:sz w:val="20"/>
          <w:szCs w:val="20"/>
        </w:rPr>
      </w:pPr>
    </w:p>
    <w:p w:rsidR="008B47CC" w:rsidRDefault="008B47CC">
      <w:pPr>
        <w:rPr>
          <w:sz w:val="20"/>
          <w:szCs w:val="20"/>
        </w:rPr>
      </w:pPr>
    </w:p>
    <w:tbl>
      <w:tblPr>
        <w:tblStyle w:val="a"/>
        <w:tblW w:w="14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95"/>
        <w:gridCol w:w="6750"/>
        <w:gridCol w:w="2970"/>
      </w:tblGrid>
      <w:tr w:rsidR="00E63101" w:rsidTr="00E63101">
        <w:trPr>
          <w:jc w:val="center"/>
        </w:trPr>
        <w:tc>
          <w:tcPr>
            <w:tcW w:w="4495" w:type="dxa"/>
          </w:tcPr>
          <w:p w:rsidR="00E63101" w:rsidRDefault="00E63101">
            <w:pPr>
              <w:tabs>
                <w:tab w:val="left" w:pos="407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Objectives</w:t>
            </w:r>
          </w:p>
          <w:p w:rsidR="00E63101" w:rsidRDefault="00E63101">
            <w:pPr>
              <w:tabs>
                <w:tab w:val="left" w:pos="4073"/>
              </w:tabs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E63101" w:rsidRDefault="00E63101">
            <w:pPr>
              <w:tabs>
                <w:tab w:val="left" w:pos="407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Actions/Strategies</w:t>
            </w:r>
          </w:p>
        </w:tc>
        <w:tc>
          <w:tcPr>
            <w:tcW w:w="2970" w:type="dxa"/>
          </w:tcPr>
          <w:p w:rsidR="00E63101" w:rsidRDefault="00E63101">
            <w:pPr>
              <w:tabs>
                <w:tab w:val="left" w:pos="407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Leading Indicators</w:t>
            </w:r>
          </w:p>
        </w:tc>
      </w:tr>
      <w:tr w:rsidR="00E63101" w:rsidTr="00E63101">
        <w:trPr>
          <w:jc w:val="center"/>
        </w:trPr>
        <w:tc>
          <w:tcPr>
            <w:tcW w:w="4495" w:type="dxa"/>
          </w:tcPr>
          <w:p w:rsidR="00E63101" w:rsidRDefault="00E6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Create REGIONAL career awareness, exploration and WBL opportunity infrastructure that increase middle and high school students’ knowledge of career options, improve 21st-Century Skills, and prepare students for college entry. </w:t>
            </w:r>
          </w:p>
          <w:p w:rsidR="00E63101" w:rsidRDefault="00E63101">
            <w:pPr>
              <w:rPr>
                <w:sz w:val="20"/>
                <w:szCs w:val="20"/>
              </w:rPr>
            </w:pPr>
          </w:p>
          <w:p w:rsidR="00E63101" w:rsidRDefault="00E6310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750" w:type="dxa"/>
          </w:tcPr>
          <w:p w:rsidR="00E63101" w:rsidRPr="00B96ED9" w:rsidRDefault="00E6310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96ED9">
              <w:rPr>
                <w:sz w:val="20"/>
                <w:szCs w:val="20"/>
              </w:rPr>
              <w:t>Prepare guidelines for middle school and high school career development, including experiences that prepare students for postsecondary transition, to support middle and high school practice in the region</w:t>
            </w:r>
          </w:p>
          <w:p w:rsidR="00E63101" w:rsidRPr="00B96ED9" w:rsidRDefault="00E63101">
            <w:pPr>
              <w:ind w:left="360"/>
              <w:rPr>
                <w:sz w:val="20"/>
                <w:szCs w:val="20"/>
              </w:rPr>
            </w:pPr>
            <w:r w:rsidRPr="00B96ED9">
              <w:rPr>
                <w:sz w:val="20"/>
                <w:szCs w:val="20"/>
              </w:rPr>
              <w:t xml:space="preserve">a.    Compile and organize best practices in middle school and high school  </w:t>
            </w:r>
          </w:p>
          <w:p w:rsidR="00E63101" w:rsidRPr="00B96ED9" w:rsidRDefault="00E63101">
            <w:pPr>
              <w:rPr>
                <w:sz w:val="20"/>
                <w:szCs w:val="20"/>
              </w:rPr>
            </w:pPr>
            <w:r w:rsidRPr="00B96ED9">
              <w:rPr>
                <w:sz w:val="20"/>
                <w:szCs w:val="20"/>
              </w:rPr>
              <w:t xml:space="preserve">                career development and postsecondary exposure (consider using a </w:t>
            </w:r>
          </w:p>
          <w:p w:rsidR="00E63101" w:rsidRPr="00B96ED9" w:rsidRDefault="00E63101">
            <w:pPr>
              <w:rPr>
                <w:sz w:val="20"/>
                <w:szCs w:val="20"/>
              </w:rPr>
            </w:pPr>
            <w:r w:rsidRPr="00B96ED9">
              <w:rPr>
                <w:sz w:val="20"/>
                <w:szCs w:val="20"/>
              </w:rPr>
              <w:t xml:space="preserve">                continuum framework)</w:t>
            </w:r>
          </w:p>
          <w:p w:rsidR="00E63101" w:rsidRPr="00B96ED9" w:rsidRDefault="00E63101">
            <w:pPr>
              <w:ind w:left="360"/>
              <w:rPr>
                <w:sz w:val="20"/>
                <w:szCs w:val="20"/>
              </w:rPr>
            </w:pPr>
            <w:r w:rsidRPr="00B96ED9">
              <w:rPr>
                <w:sz w:val="20"/>
                <w:szCs w:val="20"/>
              </w:rPr>
              <w:t xml:space="preserve">b. </w:t>
            </w:r>
            <w:r w:rsidRPr="00B96ED9">
              <w:rPr>
                <w:sz w:val="20"/>
                <w:szCs w:val="20"/>
              </w:rPr>
              <w:tab/>
              <w:t>Prepare rubric to support schools in identifying levels of practice</w:t>
            </w:r>
          </w:p>
          <w:p w:rsidR="00E63101" w:rsidRPr="00B96ED9" w:rsidRDefault="00E63101">
            <w:pPr>
              <w:ind w:left="360"/>
              <w:rPr>
                <w:sz w:val="20"/>
                <w:szCs w:val="20"/>
              </w:rPr>
            </w:pPr>
            <w:r w:rsidRPr="00B96ED9">
              <w:rPr>
                <w:sz w:val="20"/>
                <w:szCs w:val="20"/>
              </w:rPr>
              <w:t xml:space="preserve">c.  </w:t>
            </w:r>
            <w:r w:rsidRPr="00B96ED9">
              <w:rPr>
                <w:sz w:val="20"/>
                <w:szCs w:val="20"/>
              </w:rPr>
              <w:tab/>
              <w:t>Vet guidelines with K-12 district representatives</w:t>
            </w:r>
          </w:p>
          <w:p w:rsidR="00E63101" w:rsidRPr="00B96ED9" w:rsidRDefault="00E63101">
            <w:pPr>
              <w:ind w:left="360"/>
              <w:rPr>
                <w:sz w:val="20"/>
                <w:szCs w:val="20"/>
              </w:rPr>
            </w:pPr>
            <w:r w:rsidRPr="00B96ED9">
              <w:rPr>
                <w:sz w:val="20"/>
                <w:szCs w:val="20"/>
              </w:rPr>
              <w:t xml:space="preserve">d. </w:t>
            </w:r>
            <w:r w:rsidRPr="00B96ED9">
              <w:rPr>
                <w:sz w:val="20"/>
                <w:szCs w:val="20"/>
              </w:rPr>
              <w:tab/>
              <w:t>Edit, finalize, and disseminate guidelines</w:t>
            </w:r>
          </w:p>
          <w:p w:rsidR="00E63101" w:rsidRPr="00B96ED9" w:rsidRDefault="00E63101">
            <w:pPr>
              <w:spacing w:line="256" w:lineRule="auto"/>
              <w:rPr>
                <w:sz w:val="20"/>
                <w:szCs w:val="20"/>
              </w:rPr>
            </w:pPr>
            <w:r w:rsidRPr="00B96ED9">
              <w:rPr>
                <w:sz w:val="20"/>
                <w:szCs w:val="20"/>
              </w:rPr>
              <w:t xml:space="preserve">2.     Prepare guidelines for high school pathway development, leveraging past </w:t>
            </w:r>
          </w:p>
          <w:p w:rsidR="00E63101" w:rsidRPr="00B96ED9" w:rsidRDefault="00E63101">
            <w:pPr>
              <w:spacing w:line="256" w:lineRule="auto"/>
              <w:rPr>
                <w:sz w:val="20"/>
                <w:szCs w:val="20"/>
              </w:rPr>
            </w:pPr>
            <w:r w:rsidRPr="00B96ED9">
              <w:rPr>
                <w:sz w:val="20"/>
                <w:szCs w:val="20"/>
              </w:rPr>
              <w:t xml:space="preserve">        regional efforts</w:t>
            </w:r>
          </w:p>
          <w:p w:rsidR="00E63101" w:rsidRPr="00B96ED9" w:rsidRDefault="00E63101">
            <w:pPr>
              <w:spacing w:line="256" w:lineRule="auto"/>
              <w:ind w:left="360"/>
              <w:rPr>
                <w:sz w:val="20"/>
                <w:szCs w:val="20"/>
              </w:rPr>
            </w:pPr>
            <w:r w:rsidRPr="00B96ED9">
              <w:rPr>
                <w:sz w:val="20"/>
                <w:szCs w:val="20"/>
              </w:rPr>
              <w:t>a.     Review existing pathway development rubrics produced in the region</w:t>
            </w:r>
          </w:p>
          <w:p w:rsidR="00E63101" w:rsidRPr="00B96ED9" w:rsidRDefault="00E63101">
            <w:pPr>
              <w:spacing w:line="256" w:lineRule="auto"/>
              <w:ind w:left="360"/>
              <w:rPr>
                <w:sz w:val="20"/>
                <w:szCs w:val="20"/>
              </w:rPr>
            </w:pPr>
            <w:r w:rsidRPr="00B96ED9">
              <w:rPr>
                <w:sz w:val="20"/>
                <w:szCs w:val="20"/>
              </w:rPr>
              <w:t xml:space="preserve">b. </w:t>
            </w:r>
            <w:r w:rsidRPr="00B96ED9">
              <w:rPr>
                <w:sz w:val="20"/>
                <w:szCs w:val="20"/>
              </w:rPr>
              <w:tab/>
              <w:t>Edit and update materials to represent current priorities</w:t>
            </w:r>
          </w:p>
          <w:p w:rsidR="00E63101" w:rsidRPr="00B96ED9" w:rsidRDefault="00E63101">
            <w:pPr>
              <w:spacing w:line="256" w:lineRule="auto"/>
              <w:ind w:left="360"/>
              <w:rPr>
                <w:sz w:val="20"/>
                <w:szCs w:val="20"/>
              </w:rPr>
            </w:pPr>
            <w:r w:rsidRPr="00B96ED9">
              <w:rPr>
                <w:sz w:val="20"/>
                <w:szCs w:val="20"/>
              </w:rPr>
              <w:t>c.     Vet guidelines with K-12 district representatives</w:t>
            </w:r>
          </w:p>
          <w:p w:rsidR="00E63101" w:rsidRPr="00B96ED9" w:rsidRDefault="00E63101">
            <w:pPr>
              <w:spacing w:line="256" w:lineRule="auto"/>
              <w:ind w:left="360"/>
              <w:rPr>
                <w:color w:val="FF0000"/>
                <w:sz w:val="20"/>
                <w:szCs w:val="20"/>
              </w:rPr>
            </w:pPr>
            <w:r w:rsidRPr="00B96ED9">
              <w:rPr>
                <w:sz w:val="20"/>
                <w:szCs w:val="20"/>
              </w:rPr>
              <w:t xml:space="preserve">d. </w:t>
            </w:r>
            <w:r w:rsidRPr="00B96ED9">
              <w:rPr>
                <w:sz w:val="20"/>
                <w:szCs w:val="20"/>
              </w:rPr>
              <w:tab/>
              <w:t>Edit, finalize and disseminate guidelines</w:t>
            </w:r>
          </w:p>
        </w:tc>
        <w:tc>
          <w:tcPr>
            <w:tcW w:w="2970" w:type="dxa"/>
          </w:tcPr>
          <w:p w:rsidR="00E63101" w:rsidRPr="00B96ED9" w:rsidRDefault="00E63101" w:rsidP="00E63101">
            <w:pPr>
              <w:rPr>
                <w:sz w:val="20"/>
                <w:szCs w:val="20"/>
              </w:rPr>
            </w:pPr>
          </w:p>
        </w:tc>
      </w:tr>
      <w:tr w:rsidR="00E63101" w:rsidTr="00E63101">
        <w:trPr>
          <w:jc w:val="center"/>
        </w:trPr>
        <w:tc>
          <w:tcPr>
            <w:tcW w:w="4495" w:type="dxa"/>
          </w:tcPr>
          <w:p w:rsidR="00E63101" w:rsidRDefault="00E6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(2)  Deepen learning and career development of K-12 students by creating and expanding regional WBL opportunities that add value to district efforts and expose students to regional industry sectors. </w:t>
            </w:r>
          </w:p>
        </w:tc>
        <w:tc>
          <w:tcPr>
            <w:tcW w:w="6750" w:type="dxa"/>
          </w:tcPr>
          <w:p w:rsidR="00E63101" w:rsidRDefault="00E63101" w:rsidP="00D9144B">
            <w:pPr>
              <w:numPr>
                <w:ilvl w:val="0"/>
                <w:numId w:val="4"/>
              </w:numPr>
              <w:spacing w:line="256" w:lineRule="auto"/>
              <w:ind w:left="35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with the San Diego County of Education and key district leaders, produce regional WBL opportunities for K-12 students that will enhance the offerings available through the K-12 districts and schools and leverage sector strategies.  Examples include: </w:t>
            </w:r>
          </w:p>
          <w:p w:rsidR="00E63101" w:rsidRPr="00B96ED9" w:rsidRDefault="00E63101" w:rsidP="00D9144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sz w:val="20"/>
                <w:szCs w:val="20"/>
              </w:rPr>
            </w:pPr>
            <w:r w:rsidRPr="00B96ED9">
              <w:rPr>
                <w:sz w:val="20"/>
                <w:szCs w:val="20"/>
              </w:rPr>
              <w:t>classroom presentations</w:t>
            </w:r>
          </w:p>
          <w:p w:rsidR="00E63101" w:rsidRPr="00B96ED9" w:rsidRDefault="00E63101" w:rsidP="00D9144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sz w:val="20"/>
                <w:szCs w:val="20"/>
              </w:rPr>
            </w:pPr>
            <w:r w:rsidRPr="00B96ED9">
              <w:rPr>
                <w:sz w:val="20"/>
                <w:szCs w:val="20"/>
              </w:rPr>
              <w:t>career readiness presentations</w:t>
            </w:r>
          </w:p>
          <w:p w:rsidR="00E63101" w:rsidRPr="00B96ED9" w:rsidRDefault="00E63101" w:rsidP="00D9144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sz w:val="20"/>
                <w:szCs w:val="20"/>
              </w:rPr>
            </w:pPr>
            <w:r w:rsidRPr="00B96ED9">
              <w:rPr>
                <w:sz w:val="20"/>
                <w:szCs w:val="20"/>
              </w:rPr>
              <w:t>internships/mentorships</w:t>
            </w:r>
          </w:p>
          <w:p w:rsidR="00E63101" w:rsidRPr="00B96ED9" w:rsidRDefault="00E63101" w:rsidP="00D9144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sz w:val="20"/>
                <w:szCs w:val="20"/>
              </w:rPr>
            </w:pPr>
            <w:r w:rsidRPr="00B96ED9">
              <w:rPr>
                <w:sz w:val="20"/>
                <w:szCs w:val="20"/>
              </w:rPr>
              <w:t>job shadows/industry tours</w:t>
            </w:r>
          </w:p>
          <w:p w:rsidR="00E63101" w:rsidRPr="00B96ED9" w:rsidRDefault="00E63101" w:rsidP="00381BA1">
            <w:pPr>
              <w:numPr>
                <w:ilvl w:val="0"/>
                <w:numId w:val="10"/>
              </w:numPr>
              <w:spacing w:line="259" w:lineRule="auto"/>
              <w:contextualSpacing/>
              <w:rPr>
                <w:sz w:val="20"/>
                <w:szCs w:val="20"/>
              </w:rPr>
            </w:pPr>
            <w:r w:rsidRPr="00B96ED9">
              <w:rPr>
                <w:sz w:val="20"/>
                <w:szCs w:val="20"/>
              </w:rPr>
              <w:t>career fairs (in collaboration with MS, HS, CC campus’ &amp; industry)</w:t>
            </w:r>
            <w:bookmarkStart w:id="1" w:name="_gjdgxs" w:colFirst="0" w:colLast="0"/>
            <w:bookmarkEnd w:id="1"/>
          </w:p>
          <w:p w:rsidR="00E63101" w:rsidRDefault="00E63101" w:rsidP="00815FE5">
            <w:pPr>
              <w:numPr>
                <w:ilvl w:val="0"/>
                <w:numId w:val="4"/>
              </w:numPr>
              <w:spacing w:line="256" w:lineRule="auto"/>
              <w:ind w:left="35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 a regional calendar of activities and registration mechanism</w:t>
            </w:r>
          </w:p>
          <w:p w:rsidR="00E63101" w:rsidRDefault="00E63101" w:rsidP="00381BA1">
            <w:pPr>
              <w:numPr>
                <w:ilvl w:val="0"/>
                <w:numId w:val="4"/>
              </w:numPr>
              <w:spacing w:line="256" w:lineRule="auto"/>
              <w:ind w:left="35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a communication strategy to inform the districts about these opportunities, evaluate impact, and plan for future events. </w:t>
            </w:r>
          </w:p>
        </w:tc>
        <w:tc>
          <w:tcPr>
            <w:tcW w:w="2970" w:type="dxa"/>
          </w:tcPr>
          <w:p w:rsidR="00E63101" w:rsidRDefault="00E63101" w:rsidP="00E63101">
            <w:pPr>
              <w:spacing w:line="256" w:lineRule="auto"/>
              <w:ind w:left="353"/>
              <w:contextualSpacing/>
              <w:rPr>
                <w:sz w:val="20"/>
                <w:szCs w:val="20"/>
              </w:rPr>
            </w:pPr>
          </w:p>
        </w:tc>
      </w:tr>
      <w:tr w:rsidR="00E63101" w:rsidTr="00E63101">
        <w:trPr>
          <w:jc w:val="center"/>
        </w:trPr>
        <w:tc>
          <w:tcPr>
            <w:tcW w:w="4495" w:type="dxa"/>
          </w:tcPr>
          <w:p w:rsidR="00E63101" w:rsidRDefault="00E63101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(3) Support college entry and informed pathway selection by creating effective opportunities for students to engage directly with college campuses, faculty and staff.</w:t>
            </w:r>
          </w:p>
          <w:p w:rsidR="00E63101" w:rsidRDefault="00E63101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6750" w:type="dxa"/>
          </w:tcPr>
          <w:p w:rsidR="00E63101" w:rsidRDefault="00E6310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Produce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campus-based </w:t>
            </w:r>
            <w:r>
              <w:rPr>
                <w:color w:val="000000"/>
                <w:sz w:val="20"/>
                <w:szCs w:val="20"/>
              </w:rPr>
              <w:t xml:space="preserve">events in </w:t>
            </w:r>
            <w:proofErr w:type="gramStart"/>
            <w:r>
              <w:rPr>
                <w:color w:val="000000"/>
                <w:sz w:val="20"/>
                <w:szCs w:val="20"/>
              </w:rPr>
              <w:t>7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sectors. Example </w:t>
            </w:r>
            <w:r>
              <w:rPr>
                <w:sz w:val="20"/>
                <w:szCs w:val="20"/>
              </w:rPr>
              <w:t xml:space="preserve">of </w:t>
            </w:r>
            <w:r>
              <w:rPr>
                <w:color w:val="000000"/>
                <w:sz w:val="20"/>
                <w:szCs w:val="20"/>
              </w:rPr>
              <w:t>events include:</w:t>
            </w:r>
          </w:p>
          <w:p w:rsidR="00E63101" w:rsidRDefault="00E6310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Competitions:  Automotive Skills Day, Culinary, </w:t>
            </w:r>
            <w:proofErr w:type="spellStart"/>
            <w:r>
              <w:rPr>
                <w:sz w:val="20"/>
                <w:szCs w:val="20"/>
              </w:rPr>
              <w:t>Codechella</w:t>
            </w:r>
            <w:proofErr w:type="spellEnd"/>
          </w:p>
          <w:p w:rsidR="00E63101" w:rsidRDefault="00E6310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Career  and  other industry expos such as Biotech Day</w:t>
            </w:r>
          </w:p>
          <w:p w:rsidR="00E63101" w:rsidRDefault="00E6310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Priority Sector Career Education Days</w:t>
            </w:r>
          </w:p>
          <w:p w:rsidR="00E63101" w:rsidRDefault="00E6310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On-campus information sessions on Priority Sectors with Industry reps - industry panels</w:t>
            </w:r>
          </w:p>
          <w:p w:rsidR="00E63101" w:rsidRDefault="00E6310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Fairs</w:t>
            </w:r>
          </w:p>
          <w:p w:rsidR="00E63101" w:rsidRDefault="00E6310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 tours with program demonstrations</w:t>
            </w:r>
          </w:p>
          <w:p w:rsidR="00E63101" w:rsidRDefault="00E6310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campus Career Expos (all programs represented during a college tour)</w:t>
            </w:r>
          </w:p>
          <w:p w:rsidR="00E63101" w:rsidRDefault="00E63101">
            <w:pPr>
              <w:numPr>
                <w:ilvl w:val="0"/>
                <w:numId w:val="8"/>
              </w:num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for Kids/Camps that engage K-12 students in college programs</w:t>
            </w:r>
          </w:p>
          <w:p w:rsidR="00E63101" w:rsidRDefault="00E63101">
            <w:pPr>
              <w:numPr>
                <w:ilvl w:val="0"/>
                <w:numId w:val="8"/>
              </w:num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Peer Ambassadors at high schools</w:t>
            </w:r>
          </w:p>
          <w:p w:rsidR="00E63101" w:rsidRDefault="00E6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</w:p>
          <w:p w:rsidR="00E63101" w:rsidRDefault="00E6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Develop marketing tools/resources to communicate this message including local and regional web presence, print collateral and Social media </w:t>
            </w:r>
          </w:p>
          <w:p w:rsidR="00E63101" w:rsidRDefault="00E63101" w:rsidP="0081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</w:tcPr>
          <w:p w:rsidR="00E63101" w:rsidRDefault="00E63101" w:rsidP="00E6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contextualSpacing/>
              <w:rPr>
                <w:sz w:val="20"/>
                <w:szCs w:val="20"/>
              </w:rPr>
            </w:pPr>
          </w:p>
        </w:tc>
      </w:tr>
      <w:tr w:rsidR="00E63101" w:rsidTr="00E63101">
        <w:trPr>
          <w:jc w:val="center"/>
        </w:trPr>
        <w:tc>
          <w:tcPr>
            <w:tcW w:w="4495" w:type="dxa"/>
          </w:tcPr>
          <w:p w:rsidR="00E63101" w:rsidRDefault="00E63101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(4) Increase parents’ knowledge of career education that will enable them to better support their children, while enhancing their own career prospects.</w:t>
            </w:r>
          </w:p>
          <w:p w:rsidR="00E63101" w:rsidRDefault="00E63101">
            <w:pPr>
              <w:rPr>
                <w:sz w:val="20"/>
                <w:szCs w:val="20"/>
                <w:highlight w:val="white"/>
              </w:rPr>
            </w:pPr>
          </w:p>
        </w:tc>
        <w:tc>
          <w:tcPr>
            <w:tcW w:w="6750" w:type="dxa"/>
          </w:tcPr>
          <w:p w:rsidR="00E63101" w:rsidRDefault="00E631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best practices in parent outreach and strategies for enhancing parents’ understanding of career development practices and delivery approaches (e.g. web materials, workshops at parent association meetings, etc.)</w:t>
            </w:r>
          </w:p>
          <w:p w:rsidR="00E63101" w:rsidRDefault="00E631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and pilot preliminary materials and work with one school to test workshop implementation / Host a Career Education workshop for parents at Career and College Fairs on college campuses (i.e. Got Plans? Career and College Fair at </w:t>
            </w:r>
            <w:proofErr w:type="spellStart"/>
            <w:r>
              <w:rPr>
                <w:sz w:val="20"/>
                <w:szCs w:val="20"/>
              </w:rPr>
              <w:t>Cuyamaca</w:t>
            </w:r>
            <w:proofErr w:type="spellEnd"/>
            <w:r>
              <w:rPr>
                <w:sz w:val="20"/>
                <w:szCs w:val="20"/>
              </w:rPr>
              <w:t xml:space="preserve"> College)</w:t>
            </w:r>
          </w:p>
          <w:p w:rsidR="00E63101" w:rsidRDefault="00E631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marketing tools/resources to communicate this message including web presence, print collateral and social media presence</w:t>
            </w:r>
          </w:p>
          <w:p w:rsidR="00E63101" w:rsidRDefault="00E631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summer internship orientation for parents &amp; students (bridge programs)</w:t>
            </w:r>
          </w:p>
          <w:p w:rsidR="00E63101" w:rsidRDefault="00E631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Host parent engagement breakout session at each sector specific student event </w:t>
            </w:r>
          </w:p>
          <w:p w:rsidR="00E63101" w:rsidRDefault="00E631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Host a regional parent career education session in the evening (in English &amp; Spanish)</w:t>
            </w:r>
          </w:p>
          <w:p w:rsidR="00E63101" w:rsidRDefault="00E6310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written materials are available in several languages (Spanish, Arabic, etc.)</w:t>
            </w:r>
          </w:p>
          <w:p w:rsidR="00E63101" w:rsidRDefault="00E63101" w:rsidP="00B96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E63101" w:rsidRDefault="00E63101" w:rsidP="00E6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sz w:val="20"/>
                <w:szCs w:val="20"/>
              </w:rPr>
            </w:pPr>
          </w:p>
        </w:tc>
      </w:tr>
      <w:tr w:rsidR="00E63101" w:rsidTr="00E63101">
        <w:trPr>
          <w:jc w:val="center"/>
        </w:trPr>
        <w:tc>
          <w:tcPr>
            <w:tcW w:w="4495" w:type="dxa"/>
          </w:tcPr>
          <w:p w:rsidR="00E63101" w:rsidRDefault="00E6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(5) Increase the knowledge and skill of educators/counselors in the area of career development over the grade and age spans, so they can deepen their practice and support a growing number of students. </w:t>
            </w:r>
          </w:p>
          <w:p w:rsidR="00E63101" w:rsidRDefault="00E63101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E63101" w:rsidRDefault="00E6310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Provide professional development to K-14 educators will increase knowledge and skills through professional development events in </w:t>
            </w:r>
            <w:proofErr w:type="gramStart"/>
            <w:r>
              <w:rPr>
                <w:color w:val="000000"/>
                <w:sz w:val="20"/>
                <w:szCs w:val="20"/>
              </w:rPr>
              <w:t>7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sectors. Examples of eve</w:t>
            </w:r>
            <w:r>
              <w:rPr>
                <w:sz w:val="20"/>
                <w:szCs w:val="20"/>
              </w:rPr>
              <w:t>nts:</w:t>
            </w:r>
          </w:p>
          <w:p w:rsidR="00E63101" w:rsidRDefault="00E631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HASPI Educator Conference (Health)</w:t>
            </w:r>
          </w:p>
          <w:p w:rsidR="00E63101" w:rsidRDefault="00E631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Curriculum Assessment Teaching Exchange (Business &amp; Entrepreneurship)</w:t>
            </w:r>
          </w:p>
          <w:p w:rsidR="00E63101" w:rsidRDefault="00E631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Behind the Scenes in Cyber Security (ICT)</w:t>
            </w:r>
          </w:p>
          <w:p w:rsidR="00E63101" w:rsidRDefault="00E631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Careers in Global Trade and Engineering (Global Trade, Adv. Manufacturing)</w:t>
            </w:r>
          </w:p>
          <w:p w:rsidR="00E63101" w:rsidRDefault="00E63101" w:rsidP="00B96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Industry visits/site tours/job shadows for educators (externships) in 7 sectors</w:t>
            </w:r>
          </w:p>
          <w:p w:rsidR="00E63101" w:rsidRDefault="00E6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Counselor professional development that focuses on career counseling (could be joint with CCs. Ensure that counselors have the resources/tools to provide career counseling.</w:t>
            </w:r>
          </w:p>
        </w:tc>
        <w:tc>
          <w:tcPr>
            <w:tcW w:w="2970" w:type="dxa"/>
          </w:tcPr>
          <w:p w:rsidR="00E63101" w:rsidRDefault="00E63101" w:rsidP="00E6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E63101" w:rsidTr="00E63101">
        <w:trPr>
          <w:jc w:val="center"/>
        </w:trPr>
        <w:tc>
          <w:tcPr>
            <w:tcW w:w="4495" w:type="dxa"/>
          </w:tcPr>
          <w:p w:rsidR="00E63101" w:rsidRDefault="00E6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(6) Expand opportunities for students to transition effectively from K-12 to community college by participating in “bridge programs” and related proven strategies. </w:t>
            </w:r>
          </w:p>
          <w:p w:rsidR="00E63101" w:rsidRDefault="00E63101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E63101" w:rsidRDefault="00E63101" w:rsidP="00273F6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best practices in facilitating K-12-community college transition</w:t>
            </w:r>
          </w:p>
          <w:p w:rsidR="00E63101" w:rsidRDefault="00E63101" w:rsidP="00273F6C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CTE Transitions best practices</w:t>
            </w:r>
          </w:p>
          <w:p w:rsidR="00E63101" w:rsidRDefault="00E63101" w:rsidP="00273F6C">
            <w:pPr>
              <w:numPr>
                <w:ilvl w:val="1"/>
                <w:numId w:val="7"/>
              </w:numPr>
              <w:ind w:left="71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Reach out to K-12 districts and community colleges that have strong K-12 to CC transition plans</w:t>
            </w:r>
          </w:p>
          <w:p w:rsidR="00E63101" w:rsidRPr="00B96ED9" w:rsidRDefault="00E63101" w:rsidP="00B96ED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opportunities for bringing faculty together to build and expand upon strategies that bridge pathways/programs and services from K-12 to community college and to build K-12—community college relationships that can support future efforts. </w:t>
            </w:r>
          </w:p>
        </w:tc>
        <w:tc>
          <w:tcPr>
            <w:tcW w:w="2970" w:type="dxa"/>
          </w:tcPr>
          <w:p w:rsidR="00E63101" w:rsidRDefault="00E63101" w:rsidP="00E6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/>
              <w:contextualSpacing/>
              <w:rPr>
                <w:sz w:val="20"/>
                <w:szCs w:val="20"/>
              </w:rPr>
            </w:pPr>
          </w:p>
        </w:tc>
      </w:tr>
    </w:tbl>
    <w:p w:rsidR="008B47CC" w:rsidRDefault="008B47CC"/>
    <w:p w:rsidR="008B47CC" w:rsidRDefault="008B47CC"/>
    <w:sectPr w:rsidR="008B47CC" w:rsidSect="007F3CEC">
      <w:footerReference w:type="default" r:id="rId9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54E" w:rsidRDefault="00C4454E">
      <w:r>
        <w:separator/>
      </w:r>
    </w:p>
  </w:endnote>
  <w:endnote w:type="continuationSeparator" w:id="0">
    <w:p w:rsidR="00C4454E" w:rsidRDefault="00C4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7CC" w:rsidRDefault="00C717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>MS/HS Goals V3 MRS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54E" w:rsidRDefault="00C4454E">
      <w:r>
        <w:separator/>
      </w:r>
    </w:p>
  </w:footnote>
  <w:footnote w:type="continuationSeparator" w:id="0">
    <w:p w:rsidR="00C4454E" w:rsidRDefault="00C44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7FD"/>
    <w:multiLevelType w:val="multilevel"/>
    <w:tmpl w:val="39000B3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D9562D"/>
    <w:multiLevelType w:val="multilevel"/>
    <w:tmpl w:val="934A0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B71692"/>
    <w:multiLevelType w:val="multilevel"/>
    <w:tmpl w:val="03867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0844946"/>
    <w:multiLevelType w:val="multilevel"/>
    <w:tmpl w:val="8F9E273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EC3B0A"/>
    <w:multiLevelType w:val="multilevel"/>
    <w:tmpl w:val="6BCC01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57D16D3"/>
    <w:multiLevelType w:val="multilevel"/>
    <w:tmpl w:val="BF6C1E3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854477D"/>
    <w:multiLevelType w:val="multilevel"/>
    <w:tmpl w:val="977C13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73C1280"/>
    <w:multiLevelType w:val="multilevel"/>
    <w:tmpl w:val="ED1005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7AF5593"/>
    <w:multiLevelType w:val="multilevel"/>
    <w:tmpl w:val="76F283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E3937EB"/>
    <w:multiLevelType w:val="multilevel"/>
    <w:tmpl w:val="BF746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CC"/>
    <w:rsid w:val="001120F5"/>
    <w:rsid w:val="00273F6C"/>
    <w:rsid w:val="00320D34"/>
    <w:rsid w:val="00381BA1"/>
    <w:rsid w:val="00472647"/>
    <w:rsid w:val="004A0027"/>
    <w:rsid w:val="00655A0E"/>
    <w:rsid w:val="007F3CEC"/>
    <w:rsid w:val="00815FE5"/>
    <w:rsid w:val="008B47CC"/>
    <w:rsid w:val="00A11B4E"/>
    <w:rsid w:val="00A43B56"/>
    <w:rsid w:val="00B96ED9"/>
    <w:rsid w:val="00C414A9"/>
    <w:rsid w:val="00C4454E"/>
    <w:rsid w:val="00C71731"/>
    <w:rsid w:val="00D832CB"/>
    <w:rsid w:val="00D9144B"/>
    <w:rsid w:val="00E63101"/>
    <w:rsid w:val="00EA2B86"/>
    <w:rsid w:val="00ED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ADA0D"/>
  <w15:docId w15:val="{601FA485-CAC8-2E4F-9F9F-699CD377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D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D3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B54BE-C3FA-4D80-B927-53D0FA22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Ash</dc:creator>
  <cp:lastModifiedBy>Molly Ash</cp:lastModifiedBy>
  <cp:revision>5</cp:revision>
  <dcterms:created xsi:type="dcterms:W3CDTF">2018-09-12T19:44:00Z</dcterms:created>
  <dcterms:modified xsi:type="dcterms:W3CDTF">2018-09-12T19:48:00Z</dcterms:modified>
</cp:coreProperties>
</file>