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80" w:rsidRDefault="00320D80">
      <w:pPr>
        <w:pStyle w:val="BodyText"/>
        <w:spacing w:before="7"/>
        <w:rPr>
          <w:rFonts w:ascii="Times New Roman"/>
          <w:b w:val="0"/>
          <w:sz w:val="10"/>
        </w:rPr>
      </w:pPr>
    </w:p>
    <w:p w:rsidR="00320D80" w:rsidRDefault="00C75A4E">
      <w:pPr>
        <w:pStyle w:val="BodyText"/>
        <w:spacing w:before="57"/>
        <w:ind w:left="4244"/>
      </w:pPr>
      <w:r>
        <w:t>Strong Workforce: Regional Career Pathways Goals</w:t>
      </w:r>
    </w:p>
    <w:p w:rsidR="00320D80" w:rsidRDefault="00320D80">
      <w:pPr>
        <w:rPr>
          <w:b/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6"/>
        <w:gridCol w:w="6024"/>
      </w:tblGrid>
      <w:tr w:rsidR="00320D80">
        <w:trPr>
          <w:trHeight w:val="268"/>
        </w:trPr>
        <w:tc>
          <w:tcPr>
            <w:tcW w:w="6926" w:type="dxa"/>
          </w:tcPr>
          <w:p w:rsidR="00320D80" w:rsidRDefault="00C75A4E">
            <w:pPr>
              <w:pStyle w:val="TableParagraph"/>
              <w:spacing w:line="248" w:lineRule="exact"/>
              <w:ind w:left="3231" w:right="3223"/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6024" w:type="dxa"/>
          </w:tcPr>
          <w:p w:rsidR="00320D80" w:rsidRDefault="00C75A4E">
            <w:pPr>
              <w:pStyle w:val="TableParagraph"/>
              <w:spacing w:line="248" w:lineRule="exact"/>
              <w:ind w:left="2157" w:right="2150"/>
              <w:jc w:val="center"/>
              <w:rPr>
                <w:b/>
              </w:rPr>
            </w:pPr>
            <w:r>
              <w:rPr>
                <w:b/>
              </w:rPr>
              <w:t>Leading Indicators</w:t>
            </w:r>
          </w:p>
        </w:tc>
      </w:tr>
      <w:tr w:rsidR="00320D80">
        <w:trPr>
          <w:trHeight w:val="1612"/>
        </w:trPr>
        <w:tc>
          <w:tcPr>
            <w:tcW w:w="6926" w:type="dxa"/>
          </w:tcPr>
          <w:p w:rsidR="00320D80" w:rsidRDefault="00C75A4E">
            <w:pPr>
              <w:pStyle w:val="TableParagraph"/>
              <w:ind w:left="467" w:right="322" w:hanging="360"/>
            </w:pPr>
            <w:r>
              <w:t>1. Convene K-12, community colleges, and Adult Education to create regional goals, student outcomes and metrics to define a career pathways system.</w:t>
            </w:r>
          </w:p>
        </w:tc>
        <w:tc>
          <w:tcPr>
            <w:tcW w:w="6024" w:type="dxa"/>
          </w:tcPr>
          <w:p w:rsidR="00320D80" w:rsidRDefault="00C75A4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68" w:lineRule="exact"/>
              <w:ind w:hanging="346"/>
            </w:pPr>
            <w:r>
              <w:t xml:space="preserve">All HS districts in </w:t>
            </w:r>
            <w:proofErr w:type="spellStart"/>
            <w:r>
              <w:t>CalPASS</w:t>
            </w:r>
            <w:proofErr w:type="spellEnd"/>
            <w:r>
              <w:rPr>
                <w:spacing w:val="-8"/>
              </w:rPr>
              <w:t xml:space="preserve"> </w:t>
            </w:r>
            <w:r>
              <w:t>Plus.</w:t>
            </w:r>
          </w:p>
          <w:p w:rsidR="00320D80" w:rsidRDefault="00C75A4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2749" w:hanging="346"/>
            </w:pPr>
            <w:r>
              <w:t xml:space="preserve">All HS districts upload data into </w:t>
            </w:r>
            <w:proofErr w:type="spellStart"/>
            <w:r>
              <w:t>CalPASS</w:t>
            </w:r>
            <w:proofErr w:type="spellEnd"/>
            <w:r>
              <w:rPr>
                <w:spacing w:val="-2"/>
              </w:rPr>
              <w:t xml:space="preserve"> </w:t>
            </w:r>
            <w:r>
              <w:t>Plus</w:t>
            </w:r>
          </w:p>
          <w:p w:rsidR="00320D80" w:rsidRDefault="00C75A4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5"/>
            </w:pPr>
            <w:r>
              <w:t>Regional goals, objectives and strategies</w:t>
            </w:r>
            <w:r>
              <w:rPr>
                <w:spacing w:val="-6"/>
              </w:rPr>
              <w:t xml:space="preserve"> </w:t>
            </w:r>
            <w:r>
              <w:t>created.</w:t>
            </w:r>
          </w:p>
          <w:p w:rsidR="00320D80" w:rsidRDefault="00C75A4E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70" w:lineRule="atLeast"/>
              <w:ind w:left="465" w:right="431"/>
            </w:pPr>
            <w:r>
              <w:t>K-12, community colleges and Adult Education met on an ongoing meeting</w:t>
            </w:r>
            <w:r>
              <w:rPr>
                <w:spacing w:val="-5"/>
              </w:rPr>
              <w:t xml:space="preserve"> </w:t>
            </w:r>
            <w:r>
              <w:t>schedule.</w:t>
            </w:r>
          </w:p>
        </w:tc>
      </w:tr>
      <w:tr w:rsidR="00320D80">
        <w:trPr>
          <w:trHeight w:val="1073"/>
        </w:trPr>
        <w:tc>
          <w:tcPr>
            <w:tcW w:w="6926" w:type="dxa"/>
          </w:tcPr>
          <w:p w:rsidR="00320D80" w:rsidRDefault="00C75A4E">
            <w:pPr>
              <w:pStyle w:val="TableParagraph"/>
              <w:ind w:left="467" w:right="322" w:hanging="360"/>
            </w:pPr>
            <w:r>
              <w:t>2. Develop guidelines for executive leadership to define, promote and measure a regional career pathways system.</w:t>
            </w:r>
          </w:p>
        </w:tc>
        <w:tc>
          <w:tcPr>
            <w:tcW w:w="6024" w:type="dxa"/>
          </w:tcPr>
          <w:p w:rsidR="00320D80" w:rsidRDefault="00C75A4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67" w:lineRule="exact"/>
            </w:pPr>
            <w:r>
              <w:t>Regional goals submitted to presidents and</w:t>
            </w:r>
            <w:r>
              <w:rPr>
                <w:spacing w:val="-15"/>
              </w:rPr>
              <w:t xml:space="preserve"> </w:t>
            </w:r>
            <w:r>
              <w:t>superintendents.</w:t>
            </w:r>
          </w:p>
          <w:p w:rsidR="00320D80" w:rsidRDefault="00C75A4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1479"/>
            </w:pPr>
            <w:r>
              <w:t>Regional metrics submitted to presidents and superintendents.</w:t>
            </w:r>
          </w:p>
          <w:p w:rsidR="00320D80" w:rsidRDefault="00C75A4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9" w:lineRule="exact"/>
            </w:pPr>
            <w:r>
              <w:t>Measurement of progress toward goals on an annual</w:t>
            </w:r>
            <w:r>
              <w:rPr>
                <w:spacing w:val="-19"/>
              </w:rPr>
              <w:t xml:space="preserve"> </w:t>
            </w:r>
            <w:r>
              <w:t>basis.</w:t>
            </w:r>
          </w:p>
        </w:tc>
      </w:tr>
      <w:tr w:rsidR="00320D80">
        <w:trPr>
          <w:trHeight w:val="1072"/>
        </w:trPr>
        <w:tc>
          <w:tcPr>
            <w:tcW w:w="6926" w:type="dxa"/>
          </w:tcPr>
          <w:p w:rsidR="00320D80" w:rsidRDefault="00C75A4E">
            <w:pPr>
              <w:pStyle w:val="TableParagraph"/>
              <w:ind w:left="467" w:right="322" w:hanging="360"/>
            </w:pPr>
            <w:r>
              <w:t>3. Map existing career pathways from regional high schools into community colleges in the region’s industry sectors (cc or 4-year). Produce career pathways maps for the regional sectors from K-12 to</w:t>
            </w:r>
          </w:p>
          <w:p w:rsidR="00320D80" w:rsidRDefault="0020526C">
            <w:pPr>
              <w:pStyle w:val="TableParagraph"/>
              <w:spacing w:line="248" w:lineRule="exact"/>
              <w:ind w:left="467"/>
            </w:pPr>
            <w:proofErr w:type="gramStart"/>
            <w:r>
              <w:t>postsecondary</w:t>
            </w:r>
            <w:proofErr w:type="gramEnd"/>
            <w:r w:rsidR="00C75A4E">
              <w:t xml:space="preserve"> to career.</w:t>
            </w:r>
          </w:p>
        </w:tc>
        <w:tc>
          <w:tcPr>
            <w:tcW w:w="6024" w:type="dxa"/>
          </w:tcPr>
          <w:p w:rsidR="00320D80" w:rsidRDefault="00C75A4E" w:rsidP="009A72AE">
            <w:pPr>
              <w:pStyle w:val="TableParagraph"/>
              <w:ind w:left="450" w:hanging="360"/>
            </w:pPr>
            <w:r>
              <w:t xml:space="preserve">1. </w:t>
            </w:r>
            <w:r w:rsidR="009A72AE">
              <w:t xml:space="preserve">   </w:t>
            </w:r>
            <w:r>
              <w:t>Career pathways maps create</w:t>
            </w:r>
            <w:r w:rsidR="009A72AE">
              <w:t xml:space="preserve">d from regional high schools to </w:t>
            </w:r>
            <w:r>
              <w:t>community college programs.</w:t>
            </w:r>
          </w:p>
        </w:tc>
      </w:tr>
      <w:tr w:rsidR="00320D80">
        <w:trPr>
          <w:trHeight w:val="805"/>
        </w:trPr>
        <w:tc>
          <w:tcPr>
            <w:tcW w:w="6926" w:type="dxa"/>
          </w:tcPr>
          <w:p w:rsidR="00320D80" w:rsidRDefault="00C75A4E">
            <w:pPr>
              <w:pStyle w:val="TableParagraph"/>
              <w:ind w:left="467" w:right="490" w:hanging="360"/>
            </w:pPr>
            <w:r>
              <w:t>4. Identify program gaps between existing regional pathways and regional labor market and provide recommendations for providing</w:t>
            </w:r>
          </w:p>
          <w:p w:rsidR="00320D80" w:rsidRDefault="00C75A4E">
            <w:pPr>
              <w:pStyle w:val="TableParagraph"/>
              <w:spacing w:line="249" w:lineRule="exact"/>
              <w:ind w:left="467"/>
            </w:pPr>
            <w:proofErr w:type="gramStart"/>
            <w:r>
              <w:t>programs</w:t>
            </w:r>
            <w:proofErr w:type="gramEnd"/>
            <w:r>
              <w:t xml:space="preserve"> that lead students into in-demand labor markets.</w:t>
            </w:r>
          </w:p>
        </w:tc>
        <w:tc>
          <w:tcPr>
            <w:tcW w:w="6024" w:type="dxa"/>
          </w:tcPr>
          <w:p w:rsidR="00320D80" w:rsidRDefault="00C75A4E">
            <w:pPr>
              <w:pStyle w:val="TableParagraph"/>
              <w:ind w:hanging="360"/>
            </w:pPr>
            <w:r>
              <w:t xml:space="preserve">1. </w:t>
            </w:r>
            <w:r w:rsidR="009A72AE">
              <w:t xml:space="preserve">   </w:t>
            </w:r>
            <w:r>
              <w:t>Gaps between high school programs and community college programs documented and disseminated.</w:t>
            </w:r>
          </w:p>
        </w:tc>
      </w:tr>
      <w:tr w:rsidR="00320D80">
        <w:trPr>
          <w:trHeight w:val="1612"/>
        </w:trPr>
        <w:tc>
          <w:tcPr>
            <w:tcW w:w="6926" w:type="dxa"/>
          </w:tcPr>
          <w:p w:rsidR="00320D80" w:rsidRDefault="00C75A4E">
            <w:pPr>
              <w:pStyle w:val="TableParagraph"/>
              <w:ind w:left="467" w:right="744" w:hanging="360"/>
              <w:jc w:val="both"/>
            </w:pPr>
            <w:r>
              <w:t>5. Convene high school and community college faculty to facilitate development of aligned career pathways curriculum and course sequence, high schools, adult schools, and colleges.</w:t>
            </w:r>
          </w:p>
        </w:tc>
        <w:tc>
          <w:tcPr>
            <w:tcW w:w="6024" w:type="dxa"/>
          </w:tcPr>
          <w:p w:rsidR="00320D80" w:rsidRDefault="00C75A4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right="316"/>
            </w:pPr>
            <w:r>
              <w:t>Documentation of meeting between high school and community college faculty to develop and align</w:t>
            </w:r>
            <w:r>
              <w:rPr>
                <w:spacing w:val="-25"/>
              </w:rPr>
              <w:t xml:space="preserve"> </w:t>
            </w:r>
            <w:r>
              <w:t>curriculum based on regional labor market and documented</w:t>
            </w:r>
            <w:r>
              <w:rPr>
                <w:spacing w:val="-12"/>
              </w:rPr>
              <w:t xml:space="preserve"> </w:t>
            </w:r>
            <w:r>
              <w:t>gaps.</w:t>
            </w:r>
          </w:p>
          <w:p w:rsidR="00320D80" w:rsidRDefault="00C75A4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70" w:lineRule="atLeast"/>
              <w:ind w:right="320"/>
            </w:pPr>
            <w:r>
              <w:t>Develop plans to address identified gaps by creating sequential career pathways or programs of study between the high schools and community</w:t>
            </w:r>
            <w:r>
              <w:rPr>
                <w:spacing w:val="-4"/>
              </w:rPr>
              <w:t xml:space="preserve"> </w:t>
            </w:r>
            <w:r>
              <w:t>colleges.</w:t>
            </w:r>
          </w:p>
        </w:tc>
      </w:tr>
      <w:tr w:rsidR="00320D80">
        <w:trPr>
          <w:trHeight w:val="1338"/>
        </w:trPr>
        <w:tc>
          <w:tcPr>
            <w:tcW w:w="6926" w:type="dxa"/>
          </w:tcPr>
          <w:p w:rsidR="00320D80" w:rsidRDefault="00C75A4E">
            <w:pPr>
              <w:pStyle w:val="TableParagraph"/>
              <w:ind w:left="467" w:right="398" w:hanging="360"/>
              <w:jc w:val="both"/>
            </w:pPr>
            <w:r>
              <w:t xml:space="preserve">6. Build goals and strategies for career preparation at each grade level beginning in middle </w:t>
            </w:r>
            <w:proofErr w:type="gramStart"/>
            <w:r>
              <w:t>school and continuing through high school</w:t>
            </w:r>
            <w:proofErr w:type="gramEnd"/>
            <w:r>
              <w:t xml:space="preserve"> and bridging to the community colleges.</w:t>
            </w:r>
          </w:p>
        </w:tc>
        <w:tc>
          <w:tcPr>
            <w:tcW w:w="6024" w:type="dxa"/>
          </w:tcPr>
          <w:p w:rsidR="00320D80" w:rsidRDefault="00C75A4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ind w:right="373"/>
            </w:pPr>
            <w:r>
              <w:t>Goals and strategies for middle and high school career preparation documented and disseminated to middle and high</w:t>
            </w:r>
            <w:r>
              <w:rPr>
                <w:spacing w:val="-2"/>
              </w:rPr>
              <w:t xml:space="preserve"> </w:t>
            </w:r>
            <w:r>
              <w:t>partners.</w:t>
            </w:r>
          </w:p>
          <w:p w:rsidR="00320D80" w:rsidRDefault="00C75A4E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67" w:lineRule="exact"/>
            </w:pPr>
            <w:r>
              <w:t>Goals and strategies criteria developed for the</w:t>
            </w:r>
            <w:r>
              <w:rPr>
                <w:spacing w:val="-12"/>
              </w:rPr>
              <w:t xml:space="preserve"> </w:t>
            </w:r>
            <w:r>
              <w:t>K-12</w:t>
            </w:r>
          </w:p>
          <w:p w:rsidR="00320D80" w:rsidRDefault="00C75A4E">
            <w:pPr>
              <w:pStyle w:val="TableParagraph"/>
              <w:spacing w:line="248" w:lineRule="exact"/>
            </w:pPr>
            <w:r>
              <w:t>Component of the SWP application.</w:t>
            </w:r>
          </w:p>
        </w:tc>
      </w:tr>
      <w:tr w:rsidR="00320D80">
        <w:trPr>
          <w:trHeight w:val="539"/>
        </w:trPr>
        <w:tc>
          <w:tcPr>
            <w:tcW w:w="6926" w:type="dxa"/>
          </w:tcPr>
          <w:p w:rsidR="00320D80" w:rsidRDefault="00C75A4E">
            <w:pPr>
              <w:pStyle w:val="TableParagraph"/>
              <w:spacing w:line="268" w:lineRule="exact"/>
              <w:ind w:left="107"/>
            </w:pPr>
            <w:r>
              <w:t>7. Develop WBL guidelines for the continuum of activities that will be</w:t>
            </w:r>
          </w:p>
          <w:p w:rsidR="00320D80" w:rsidRDefault="00C75A4E">
            <w:pPr>
              <w:pStyle w:val="TableParagraph"/>
              <w:spacing w:line="252" w:lineRule="exact"/>
              <w:ind w:left="467"/>
            </w:pPr>
            <w:proofErr w:type="gramStart"/>
            <w:r>
              <w:t>offered</w:t>
            </w:r>
            <w:proofErr w:type="gramEnd"/>
            <w:r>
              <w:t xml:space="preserve"> from middle school through high school.</w:t>
            </w:r>
          </w:p>
        </w:tc>
        <w:tc>
          <w:tcPr>
            <w:tcW w:w="6024" w:type="dxa"/>
          </w:tcPr>
          <w:p w:rsidR="00320D80" w:rsidRDefault="00C75A4E">
            <w:pPr>
              <w:pStyle w:val="TableParagraph"/>
              <w:spacing w:line="268" w:lineRule="exact"/>
              <w:ind w:left="105"/>
            </w:pPr>
            <w:r>
              <w:t>1. Developed inventory of middle school and high school WBL</w:t>
            </w:r>
          </w:p>
          <w:p w:rsidR="00320D80" w:rsidRDefault="00C75A4E">
            <w:pPr>
              <w:pStyle w:val="TableParagraph"/>
              <w:spacing w:line="252" w:lineRule="exact"/>
            </w:pPr>
            <w:proofErr w:type="gramStart"/>
            <w:r>
              <w:t>activities</w:t>
            </w:r>
            <w:proofErr w:type="gramEnd"/>
            <w:r>
              <w:t>.</w:t>
            </w:r>
          </w:p>
        </w:tc>
      </w:tr>
    </w:tbl>
    <w:p w:rsidR="00320D80" w:rsidRDefault="00320D80">
      <w:pPr>
        <w:spacing w:line="252" w:lineRule="exact"/>
        <w:sectPr w:rsidR="00320D80">
          <w:headerReference w:type="default" r:id="rId7"/>
          <w:footerReference w:type="default" r:id="rId8"/>
          <w:type w:val="continuous"/>
          <w:pgSz w:w="15840" w:h="12240" w:orient="landscape"/>
          <w:pgMar w:top="1800" w:right="1320" w:bottom="1200" w:left="1340" w:header="288" w:footer="1014" w:gutter="0"/>
          <w:cols w:space="720"/>
        </w:sectPr>
      </w:pPr>
    </w:p>
    <w:p w:rsidR="00320D80" w:rsidRDefault="00C75A4E">
      <w:pPr>
        <w:pStyle w:val="BodyText"/>
        <w:spacing w:before="57"/>
        <w:ind w:left="3162"/>
      </w:pPr>
      <w:r>
        <w:lastRenderedPageBreak/>
        <w:t>Strong Workforce: Regional Middle School/ High School Engagement Goals</w:t>
      </w:r>
      <w:r w:rsidR="00302E91">
        <w:t xml:space="preserve"> </w:t>
      </w:r>
    </w:p>
    <w:p w:rsidR="00320D80" w:rsidRDefault="00320D80">
      <w:pPr>
        <w:rPr>
          <w:b/>
          <w:sz w:val="15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6028"/>
      </w:tblGrid>
      <w:tr w:rsidR="00320D80">
        <w:trPr>
          <w:trHeight w:val="450"/>
        </w:trPr>
        <w:tc>
          <w:tcPr>
            <w:tcW w:w="6746" w:type="dxa"/>
          </w:tcPr>
          <w:p w:rsidR="00320D80" w:rsidRDefault="00C75A4E">
            <w:pPr>
              <w:pStyle w:val="TableParagraph"/>
              <w:spacing w:line="268" w:lineRule="exact"/>
              <w:ind w:left="3142" w:right="3132"/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6028" w:type="dxa"/>
          </w:tcPr>
          <w:p w:rsidR="00320D80" w:rsidRDefault="00C75A4E">
            <w:pPr>
              <w:pStyle w:val="TableParagraph"/>
              <w:spacing w:line="268" w:lineRule="exact"/>
              <w:ind w:left="2161" w:right="2149"/>
              <w:jc w:val="center"/>
              <w:rPr>
                <w:b/>
              </w:rPr>
            </w:pPr>
            <w:r>
              <w:rPr>
                <w:b/>
              </w:rPr>
              <w:t>Leading Indicators</w:t>
            </w:r>
          </w:p>
        </w:tc>
      </w:tr>
      <w:tr w:rsidR="00320D80">
        <w:trPr>
          <w:trHeight w:val="1319"/>
        </w:trPr>
        <w:tc>
          <w:tcPr>
            <w:tcW w:w="6746" w:type="dxa"/>
          </w:tcPr>
          <w:p w:rsidR="00320D80" w:rsidRDefault="00C75A4E">
            <w:pPr>
              <w:pStyle w:val="TableParagraph"/>
              <w:spacing w:line="259" w:lineRule="auto"/>
              <w:ind w:left="109" w:right="106"/>
            </w:pPr>
            <w:r>
              <w:t>1. Create REGIONAL career awareness, exploration and WBL opportunity infrastructure that increase middle and high school students’ knowledge of career options, improve 21st-Century Skills, and prepare students for college entry.</w:t>
            </w:r>
          </w:p>
        </w:tc>
        <w:tc>
          <w:tcPr>
            <w:tcW w:w="6028" w:type="dxa"/>
          </w:tcPr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Continuum of  best practices completed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Continuum of best practices reviewed and approved by WG 2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Continuum of best practices shared with middle school and high school administrators and career centers for feedback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Development of RFA for funding of plans for implementation of best practices in middle schools and high schools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 xml:space="preserve">Development of action plans by middle school and high school districts to implement best practices </w:t>
            </w:r>
          </w:p>
          <w:p w:rsidR="00320D80" w:rsidRDefault="00320D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20D80">
        <w:trPr>
          <w:trHeight w:val="1029"/>
        </w:trPr>
        <w:tc>
          <w:tcPr>
            <w:tcW w:w="6746" w:type="dxa"/>
          </w:tcPr>
          <w:p w:rsidR="00320D80" w:rsidRDefault="00C75A4E">
            <w:pPr>
              <w:pStyle w:val="TableParagraph"/>
              <w:spacing w:line="259" w:lineRule="auto"/>
              <w:ind w:left="110" w:right="442"/>
            </w:pPr>
            <w:r>
              <w:t>2. Deepen learning and career development of K-12 students by creating and expanding regional WBL opportunities that add value to district efforts and expose students to regional industry sectors.</w:t>
            </w:r>
          </w:p>
        </w:tc>
        <w:tc>
          <w:tcPr>
            <w:tcW w:w="6028" w:type="dxa"/>
          </w:tcPr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and roster of employers contacted to offer WBL opportunities to middle school and high school students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speakers engaged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classroom presentations delivered by industry representatives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 xml:space="preserve">Number of career fairs organized 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job shadowing opportunities created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middle school and high school students participating in classroom presentations delivered by industry representatives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middle school and high school students participating in career fairs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middle school and high school students participating in job shadowing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Communication strategy created</w:t>
            </w:r>
          </w:p>
          <w:p w:rsidR="00320D80" w:rsidRDefault="00320D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20D80">
        <w:trPr>
          <w:trHeight w:val="1029"/>
        </w:trPr>
        <w:tc>
          <w:tcPr>
            <w:tcW w:w="6746" w:type="dxa"/>
          </w:tcPr>
          <w:p w:rsidR="00320D80" w:rsidRDefault="00C75A4E">
            <w:pPr>
              <w:pStyle w:val="TableParagraph"/>
              <w:spacing w:line="259" w:lineRule="auto"/>
              <w:ind w:left="110" w:right="486"/>
            </w:pPr>
            <w:r>
              <w:t>3. Support college entry and informed pathway selection by creating effective opportunities for students to engage directly with college campuses, faculty and staff.</w:t>
            </w:r>
          </w:p>
        </w:tc>
        <w:tc>
          <w:tcPr>
            <w:tcW w:w="6028" w:type="dxa"/>
          </w:tcPr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tours to college campuses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high school students participating in college tours</w:t>
            </w:r>
          </w:p>
          <w:p w:rsidR="00320D80" w:rsidRDefault="00302E91" w:rsidP="00302E91">
            <w:pPr>
              <w:pStyle w:val="TableParagraph"/>
              <w:numPr>
                <w:ilvl w:val="0"/>
                <w:numId w:val="8"/>
              </w:numPr>
              <w:rPr>
                <w:rFonts w:ascii="Times New Roman"/>
              </w:rPr>
            </w:pPr>
            <w:r w:rsidRPr="00302E91">
              <w:rPr>
                <w:rFonts w:cstheme="minorHAnsi"/>
              </w:rPr>
              <w:t>Percent positive results on post-tour student surveys</w:t>
            </w:r>
          </w:p>
        </w:tc>
      </w:tr>
    </w:tbl>
    <w:p w:rsidR="009A72AE" w:rsidRDefault="009A72AE"/>
    <w:p w:rsidR="009A72AE" w:rsidRDefault="009A72AE" w:rsidP="009A72AE">
      <w:pPr>
        <w:pStyle w:val="BodyText"/>
        <w:spacing w:before="57"/>
        <w:ind w:left="3162"/>
      </w:pPr>
      <w:r>
        <w:lastRenderedPageBreak/>
        <w:t xml:space="preserve">Strong Workforce: Regional Middle School/ High School Engagement Goals, cont.  </w:t>
      </w:r>
    </w:p>
    <w:p w:rsidR="009A72AE" w:rsidRDefault="009A72AE"/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6028"/>
      </w:tblGrid>
      <w:tr w:rsidR="00320D80">
        <w:trPr>
          <w:trHeight w:val="1029"/>
        </w:trPr>
        <w:tc>
          <w:tcPr>
            <w:tcW w:w="6746" w:type="dxa"/>
          </w:tcPr>
          <w:p w:rsidR="00320D80" w:rsidRDefault="00C75A4E">
            <w:pPr>
              <w:pStyle w:val="TableParagraph"/>
              <w:spacing w:line="259" w:lineRule="auto"/>
              <w:ind w:left="110" w:right="185"/>
            </w:pPr>
            <w:r>
              <w:t>4. Increase parents’ knowledge of career education that will enable them to better support their children, while enhancing their own career prospects.</w:t>
            </w:r>
            <w:bookmarkStart w:id="0" w:name="_GoBack"/>
            <w:bookmarkEnd w:id="0"/>
          </w:p>
        </w:tc>
        <w:tc>
          <w:tcPr>
            <w:tcW w:w="6028" w:type="dxa"/>
          </w:tcPr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Best practices collected and posted in WG 2 folder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presentations and workshops for parents at high schools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parents participating in career-related presentations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surveys completed with information from parents about their children’s and their own career development needs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Creation of parent career development workshops based on survey results</w:t>
            </w:r>
          </w:p>
          <w:p w:rsidR="00320D80" w:rsidRDefault="00320D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20D80">
        <w:trPr>
          <w:trHeight w:val="1029"/>
        </w:trPr>
        <w:tc>
          <w:tcPr>
            <w:tcW w:w="6746" w:type="dxa"/>
          </w:tcPr>
          <w:p w:rsidR="00320D80" w:rsidRDefault="00C75A4E">
            <w:pPr>
              <w:pStyle w:val="TableParagraph"/>
              <w:spacing w:line="259" w:lineRule="auto"/>
              <w:ind w:left="110" w:right="253"/>
            </w:pPr>
            <w:r>
              <w:t>5. Increase the knowledge and skill of educators/counselors in the area of career development over the grade and age spans, so they can deepen their practice and support a growing number of students.</w:t>
            </w:r>
          </w:p>
        </w:tc>
        <w:tc>
          <w:tcPr>
            <w:tcW w:w="6028" w:type="dxa"/>
          </w:tcPr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educators impacted overall (proposed was 400)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teachers participating in sector specific industry panel discussions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teachers participating in teacher job shadows (&lt;25 hours)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 xml:space="preserve">Number of teachers participating in teacher externships with presentations to other teachers in their discipline or sector (25 hours or more) 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Number of counselors participating in counselor professional development and conference</w:t>
            </w:r>
          </w:p>
          <w:p w:rsidR="00320D80" w:rsidRDefault="00320D8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02E91">
        <w:trPr>
          <w:trHeight w:val="1031"/>
        </w:trPr>
        <w:tc>
          <w:tcPr>
            <w:tcW w:w="6746" w:type="dxa"/>
          </w:tcPr>
          <w:p w:rsidR="00302E91" w:rsidRDefault="00302E91" w:rsidP="00302E91">
            <w:pPr>
              <w:pStyle w:val="TableParagraph"/>
              <w:spacing w:line="259" w:lineRule="auto"/>
              <w:ind w:left="110" w:right="237"/>
              <w:jc w:val="both"/>
            </w:pPr>
            <w:r>
              <w:t>6. Expand opportunities for students to transition effectively from K-12 to community college by participating in “bridge programs” and related proven strategies.</w:t>
            </w:r>
          </w:p>
        </w:tc>
        <w:tc>
          <w:tcPr>
            <w:tcW w:w="6028" w:type="dxa"/>
          </w:tcPr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Compilation of research on effective transition strategies</w:t>
            </w:r>
          </w:p>
          <w:p w:rsidR="00302E91" w:rsidRPr="00302E91" w:rsidRDefault="00302E91" w:rsidP="00302E9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cstheme="minorHAnsi"/>
              </w:rPr>
            </w:pPr>
            <w:r w:rsidRPr="00302E91">
              <w:rPr>
                <w:rFonts w:cstheme="minorHAnsi"/>
              </w:rPr>
              <w:t>Completion of one K-12-CC convening to address identified challenges and develop actionable strategies for full implementation in following year; number of faculty in attendance; number of plans generated for action in following year</w:t>
            </w:r>
          </w:p>
          <w:p w:rsidR="00302E91" w:rsidRDefault="00302E91" w:rsidP="00302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/>
              <w:contextualSpacing/>
              <w:rPr>
                <w:sz w:val="20"/>
                <w:szCs w:val="20"/>
              </w:rPr>
            </w:pPr>
          </w:p>
        </w:tc>
      </w:tr>
    </w:tbl>
    <w:p w:rsidR="00C75A4E" w:rsidRDefault="00C75A4E"/>
    <w:sectPr w:rsidR="00C75A4E">
      <w:pgSz w:w="15840" w:h="12240" w:orient="landscape"/>
      <w:pgMar w:top="1800" w:right="1320" w:bottom="1200" w:left="1340" w:header="288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D4" w:rsidRDefault="006433D4">
      <w:r>
        <w:separator/>
      </w:r>
    </w:p>
  </w:endnote>
  <w:endnote w:type="continuationSeparator" w:id="0">
    <w:p w:rsidR="006433D4" w:rsidRDefault="0064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80" w:rsidRDefault="00320D80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D4" w:rsidRDefault="006433D4">
      <w:r>
        <w:separator/>
      </w:r>
    </w:p>
  </w:footnote>
  <w:footnote w:type="continuationSeparator" w:id="0">
    <w:p w:rsidR="006433D4" w:rsidRDefault="0064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80" w:rsidRDefault="00341245" w:rsidP="00341245">
    <w:pPr>
      <w:pStyle w:val="BodyText"/>
      <w:spacing w:line="14" w:lineRule="auto"/>
      <w:jc w:val="center"/>
      <w:rPr>
        <w:b w:val="0"/>
        <w:sz w:val="20"/>
      </w:rPr>
    </w:pPr>
    <w:r>
      <w:rPr>
        <w:b w:val="0"/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102870</wp:posOffset>
          </wp:positionV>
          <wp:extent cx="2905125" cy="596265"/>
          <wp:effectExtent l="0" t="0" r="9525" b="0"/>
          <wp:wrapTight wrapText="bothSides">
            <wp:wrapPolygon edited="0">
              <wp:start x="0" y="0"/>
              <wp:lineTo x="0" y="20703"/>
              <wp:lineTo x="21529" y="20703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_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 w:val="0"/>
          <w:sz w:val="20"/>
        </w:rPr>
        <w:id w:val="-1091695433"/>
        <w:docPartObj>
          <w:docPartGallery w:val="Watermarks"/>
          <w:docPartUnique/>
        </w:docPartObj>
      </w:sdtPr>
      <w:sdtEndPr/>
      <w:sdtContent>
        <w:r w:rsidR="006433D4">
          <w:rPr>
            <w:b w:val="0"/>
            <w:noProof/>
            <w:sz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436"/>
    <w:multiLevelType w:val="multilevel"/>
    <w:tmpl w:val="76C2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076E01"/>
    <w:multiLevelType w:val="multilevel"/>
    <w:tmpl w:val="76C2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253E17"/>
    <w:multiLevelType w:val="hybridMultilevel"/>
    <w:tmpl w:val="6B007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D06A7"/>
    <w:multiLevelType w:val="hybridMultilevel"/>
    <w:tmpl w:val="D11CBCFC"/>
    <w:lvl w:ilvl="0" w:tplc="A7944DEE">
      <w:start w:val="1"/>
      <w:numFmt w:val="decimal"/>
      <w:lvlText w:val="%1."/>
      <w:lvlJc w:val="left"/>
      <w:pPr>
        <w:ind w:left="46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74E698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FD44ACD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BA88834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2F2280D6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2C2E361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F60255D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82661864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080E6C00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49A4CFD"/>
    <w:multiLevelType w:val="multilevel"/>
    <w:tmpl w:val="76C2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A90A59"/>
    <w:multiLevelType w:val="hybridMultilevel"/>
    <w:tmpl w:val="4FE0C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972B1"/>
    <w:multiLevelType w:val="hybridMultilevel"/>
    <w:tmpl w:val="65BE9404"/>
    <w:lvl w:ilvl="0" w:tplc="D1040314">
      <w:start w:val="1"/>
      <w:numFmt w:val="decimal"/>
      <w:lvlText w:val="%1."/>
      <w:lvlJc w:val="left"/>
      <w:pPr>
        <w:ind w:left="46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8CAF37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5AF4AC86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184A0F22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0A5CE6EE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F0104EE2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B290B972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C4E4D2B0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318C570C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D66436E"/>
    <w:multiLevelType w:val="hybridMultilevel"/>
    <w:tmpl w:val="21CE512E"/>
    <w:lvl w:ilvl="0" w:tplc="B5D66A4C">
      <w:start w:val="1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1E8073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A26A5F3E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41F4B9B8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7F72A7C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3E827F0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640692FA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EEA4933C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E2986C24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28644C1"/>
    <w:multiLevelType w:val="hybridMultilevel"/>
    <w:tmpl w:val="A3C2E766"/>
    <w:lvl w:ilvl="0" w:tplc="E602933C">
      <w:start w:val="1"/>
      <w:numFmt w:val="decimal"/>
      <w:lvlText w:val="%1."/>
      <w:lvlJc w:val="left"/>
      <w:pPr>
        <w:ind w:left="46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EE6692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632AB9C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C7968314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3C7A845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BC08287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4768E94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995842AA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C8308ED8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34A325F"/>
    <w:multiLevelType w:val="multilevel"/>
    <w:tmpl w:val="76C2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3B376C5"/>
    <w:multiLevelType w:val="multilevel"/>
    <w:tmpl w:val="76C2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80"/>
    <w:rsid w:val="0020526C"/>
    <w:rsid w:val="00302E91"/>
    <w:rsid w:val="00320D80"/>
    <w:rsid w:val="00341245"/>
    <w:rsid w:val="00607701"/>
    <w:rsid w:val="006433D4"/>
    <w:rsid w:val="006D36D2"/>
    <w:rsid w:val="009A72AE"/>
    <w:rsid w:val="00C7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B52BBE5-139B-4CFE-BCF2-3E12FACE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65"/>
    </w:pPr>
  </w:style>
  <w:style w:type="paragraph" w:styleId="Header">
    <w:name w:val="header"/>
    <w:basedOn w:val="Normal"/>
    <w:link w:val="HeaderChar"/>
    <w:uiPriority w:val="99"/>
    <w:unhideWhenUsed/>
    <w:rsid w:val="00205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26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5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26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6C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Smith</dc:creator>
  <cp:lastModifiedBy>Leslie Wisdom</cp:lastModifiedBy>
  <cp:revision>3</cp:revision>
  <cp:lastPrinted>2018-10-09T17:02:00Z</cp:lastPrinted>
  <dcterms:created xsi:type="dcterms:W3CDTF">2018-11-15T19:55:00Z</dcterms:created>
  <dcterms:modified xsi:type="dcterms:W3CDTF">2018-11-15T19:56:00Z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2018-10-05T00:00:00Z</vt:filetime>
  </property>
</Properties>
</file>