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7B70" w14:textId="6E4B3F05" w:rsidR="00E866EF" w:rsidRPr="00BF5473" w:rsidRDefault="00E866EF" w:rsidP="00806B6A">
      <w:pPr>
        <w:jc w:val="center"/>
        <w:rPr>
          <w:rFonts w:asciiTheme="majorHAnsi" w:hAnsiTheme="majorHAnsi"/>
          <w:b/>
          <w:sz w:val="22"/>
          <w:szCs w:val="22"/>
        </w:rPr>
      </w:pPr>
      <w:bookmarkStart w:id="0" w:name="_GoBack"/>
      <w:bookmarkEnd w:id="0"/>
      <w:r w:rsidRPr="00BF5473">
        <w:rPr>
          <w:rFonts w:asciiTheme="majorHAnsi" w:hAnsiTheme="majorHAnsi"/>
          <w:b/>
          <w:sz w:val="22"/>
          <w:szCs w:val="22"/>
        </w:rPr>
        <w:t>Strong Workforce Program –</w:t>
      </w:r>
      <w:r w:rsidR="00806B6A" w:rsidRPr="00BF5473">
        <w:rPr>
          <w:rFonts w:asciiTheme="majorHAnsi" w:hAnsiTheme="majorHAnsi"/>
          <w:b/>
          <w:sz w:val="22"/>
          <w:szCs w:val="22"/>
        </w:rPr>
        <w:t xml:space="preserve"> </w:t>
      </w:r>
      <w:r w:rsidRPr="00BF5473">
        <w:rPr>
          <w:rFonts w:asciiTheme="majorHAnsi" w:hAnsiTheme="majorHAnsi"/>
          <w:b/>
          <w:sz w:val="22"/>
          <w:szCs w:val="22"/>
        </w:rPr>
        <w:t>W</w:t>
      </w:r>
      <w:r w:rsidR="00313B19" w:rsidRPr="00BF5473">
        <w:rPr>
          <w:rFonts w:asciiTheme="majorHAnsi" w:hAnsiTheme="majorHAnsi"/>
          <w:b/>
          <w:sz w:val="22"/>
          <w:szCs w:val="22"/>
        </w:rPr>
        <w:t xml:space="preserve">ork-Based Learning and </w:t>
      </w:r>
      <w:r w:rsidRPr="00BF5473">
        <w:rPr>
          <w:rFonts w:asciiTheme="majorHAnsi" w:hAnsiTheme="majorHAnsi"/>
          <w:b/>
          <w:sz w:val="22"/>
          <w:szCs w:val="22"/>
        </w:rPr>
        <w:t>Job Placement Workgroup</w:t>
      </w:r>
    </w:p>
    <w:p w14:paraId="2F0577C1" w14:textId="57BD8472" w:rsidR="003144F1" w:rsidRPr="00BF5473" w:rsidRDefault="00150109" w:rsidP="00806B6A">
      <w:pPr>
        <w:jc w:val="center"/>
        <w:rPr>
          <w:rFonts w:asciiTheme="majorHAnsi" w:hAnsiTheme="majorHAnsi"/>
          <w:b/>
          <w:sz w:val="22"/>
          <w:szCs w:val="22"/>
        </w:rPr>
      </w:pPr>
      <w:r w:rsidRPr="00BF5473">
        <w:rPr>
          <w:rFonts w:asciiTheme="majorHAnsi" w:hAnsiTheme="majorHAnsi"/>
          <w:b/>
          <w:sz w:val="22"/>
          <w:szCs w:val="22"/>
        </w:rPr>
        <w:t xml:space="preserve">Glossary </w:t>
      </w:r>
      <w:r w:rsidR="00E866EF" w:rsidRPr="00BF5473">
        <w:rPr>
          <w:rFonts w:asciiTheme="majorHAnsi" w:hAnsiTheme="majorHAnsi"/>
          <w:b/>
          <w:sz w:val="22"/>
          <w:szCs w:val="22"/>
        </w:rPr>
        <w:t>of Applied and Work-Based</w:t>
      </w:r>
      <w:r w:rsidR="00725F43" w:rsidRPr="00BF5473">
        <w:rPr>
          <w:rFonts w:asciiTheme="majorHAnsi" w:hAnsiTheme="majorHAnsi"/>
          <w:b/>
          <w:sz w:val="22"/>
          <w:szCs w:val="22"/>
        </w:rPr>
        <w:t xml:space="preserve"> </w:t>
      </w:r>
      <w:r w:rsidR="00313B19" w:rsidRPr="00BF5473">
        <w:rPr>
          <w:rFonts w:asciiTheme="majorHAnsi" w:hAnsiTheme="majorHAnsi"/>
          <w:b/>
          <w:sz w:val="22"/>
          <w:szCs w:val="22"/>
        </w:rPr>
        <w:t xml:space="preserve">Learning </w:t>
      </w:r>
      <w:r w:rsidRPr="00BF5473">
        <w:rPr>
          <w:rFonts w:asciiTheme="majorHAnsi" w:hAnsiTheme="majorHAnsi"/>
          <w:b/>
          <w:sz w:val="22"/>
          <w:szCs w:val="22"/>
        </w:rPr>
        <w:t>Opportunities</w:t>
      </w:r>
    </w:p>
    <w:p w14:paraId="3A7D26FC" w14:textId="77777777" w:rsidR="003B7749" w:rsidRPr="00834734" w:rsidRDefault="003B7749" w:rsidP="00962134">
      <w:pPr>
        <w:rPr>
          <w:rFonts w:asciiTheme="majorHAnsi" w:eastAsia="Times New Roman" w:hAnsiTheme="majorHAnsi" w:cs="Arial"/>
          <w:sz w:val="20"/>
          <w:szCs w:val="20"/>
        </w:rPr>
      </w:pPr>
    </w:p>
    <w:p w14:paraId="439B3728" w14:textId="6CD6D471" w:rsidR="00852E4A" w:rsidRPr="00834734" w:rsidRDefault="00F9465D" w:rsidP="00962134">
      <w:pPr>
        <w:rPr>
          <w:rFonts w:asciiTheme="majorHAnsi" w:eastAsia="Times New Roman" w:hAnsiTheme="majorHAnsi" w:cs="Arial"/>
          <w:i/>
          <w:sz w:val="22"/>
          <w:szCs w:val="22"/>
        </w:rPr>
      </w:pPr>
      <w:r w:rsidRPr="00834734">
        <w:rPr>
          <w:rFonts w:asciiTheme="majorHAnsi" w:eastAsia="Times New Roman" w:hAnsiTheme="majorHAnsi" w:cs="Arial"/>
          <w:sz w:val="22"/>
          <w:szCs w:val="22"/>
        </w:rPr>
        <w:t xml:space="preserve">The following is a glossary to support the completion of the </w:t>
      </w:r>
      <w:r w:rsidR="0057712B" w:rsidRPr="00834734">
        <w:rPr>
          <w:rFonts w:asciiTheme="majorHAnsi" w:eastAsia="Times New Roman" w:hAnsiTheme="majorHAnsi" w:cs="Arial"/>
          <w:sz w:val="22"/>
          <w:szCs w:val="22"/>
        </w:rPr>
        <w:t xml:space="preserve">Applied and Work-based Learning </w:t>
      </w:r>
      <w:r w:rsidRPr="00834734">
        <w:rPr>
          <w:rFonts w:asciiTheme="majorHAnsi" w:eastAsia="Times New Roman" w:hAnsiTheme="majorHAnsi" w:cs="Arial"/>
          <w:sz w:val="22"/>
          <w:szCs w:val="22"/>
        </w:rPr>
        <w:t>Opportunities survey, with the understanding that other definitions may be available.</w:t>
      </w:r>
      <w:r w:rsidR="00852E4A" w:rsidRPr="00834734">
        <w:rPr>
          <w:rFonts w:asciiTheme="majorHAnsi" w:eastAsia="Times New Roman" w:hAnsiTheme="majorHAnsi" w:cs="Arial"/>
          <w:i/>
          <w:sz w:val="22"/>
          <w:szCs w:val="22"/>
        </w:rPr>
        <w:t xml:space="preserve"> </w:t>
      </w:r>
    </w:p>
    <w:p w14:paraId="0C25E6BA" w14:textId="77777777" w:rsidR="00F9465D" w:rsidRPr="00834734" w:rsidRDefault="00F9465D" w:rsidP="00962134">
      <w:pPr>
        <w:rPr>
          <w:rFonts w:asciiTheme="majorHAnsi" w:eastAsia="Times New Roman" w:hAnsiTheme="majorHAnsi" w:cs="Arial"/>
          <w:sz w:val="20"/>
          <w:szCs w:val="20"/>
        </w:rPr>
      </w:pPr>
    </w:p>
    <w:tbl>
      <w:tblPr>
        <w:tblStyle w:val="TableGrid"/>
        <w:tblW w:w="14605" w:type="dxa"/>
        <w:tblLayout w:type="fixed"/>
        <w:tblCellMar>
          <w:left w:w="115" w:type="dxa"/>
          <w:right w:w="115" w:type="dxa"/>
        </w:tblCellMar>
        <w:tblLook w:val="04A0" w:firstRow="1" w:lastRow="0" w:firstColumn="1" w:lastColumn="0" w:noHBand="0" w:noVBand="1"/>
      </w:tblPr>
      <w:tblGrid>
        <w:gridCol w:w="2185"/>
        <w:gridCol w:w="2520"/>
        <w:gridCol w:w="9900"/>
      </w:tblGrid>
      <w:tr w:rsidR="00852E4A" w:rsidRPr="00BF5473" w14:paraId="1E2DDA2E" w14:textId="77777777" w:rsidTr="003B7749">
        <w:trPr>
          <w:tblHeader/>
        </w:trPr>
        <w:tc>
          <w:tcPr>
            <w:tcW w:w="2185" w:type="dxa"/>
          </w:tcPr>
          <w:p w14:paraId="3D6DBBE9" w14:textId="1FC80020" w:rsidR="00852E4A" w:rsidRPr="00BF5473" w:rsidRDefault="00852E4A" w:rsidP="00852E4A">
            <w:pPr>
              <w:rPr>
                <w:rFonts w:asciiTheme="majorHAnsi" w:hAnsiTheme="majorHAnsi"/>
                <w:b/>
                <w:sz w:val="18"/>
                <w:szCs w:val="18"/>
              </w:rPr>
            </w:pPr>
            <w:r w:rsidRPr="00BF5473">
              <w:rPr>
                <w:rFonts w:asciiTheme="majorHAnsi" w:hAnsiTheme="majorHAnsi"/>
                <w:b/>
                <w:sz w:val="18"/>
                <w:szCs w:val="18"/>
              </w:rPr>
              <w:t>CCC MIS DATA ELEMENTS</w:t>
            </w:r>
          </w:p>
          <w:p w14:paraId="76511B93" w14:textId="5D27999F" w:rsidR="00852E4A" w:rsidRPr="00BF5473" w:rsidRDefault="00852E4A" w:rsidP="00852E4A">
            <w:pPr>
              <w:rPr>
                <w:rFonts w:asciiTheme="majorHAnsi" w:hAnsiTheme="majorHAnsi"/>
                <w:b/>
                <w:sz w:val="18"/>
                <w:szCs w:val="18"/>
              </w:rPr>
            </w:pPr>
            <w:r w:rsidRPr="00BF5473">
              <w:rPr>
                <w:rFonts w:asciiTheme="majorHAnsi" w:hAnsiTheme="majorHAnsi"/>
                <w:sz w:val="18"/>
                <w:szCs w:val="18"/>
              </w:rPr>
              <w:t>(DED# SG21)</w:t>
            </w:r>
          </w:p>
        </w:tc>
        <w:tc>
          <w:tcPr>
            <w:tcW w:w="2520" w:type="dxa"/>
          </w:tcPr>
          <w:p w14:paraId="426DEFFB" w14:textId="44FE996F" w:rsidR="00852E4A" w:rsidRPr="00BF5473" w:rsidRDefault="00852E4A" w:rsidP="00852E4A">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Applied &amp; WBL Opportunities</w:t>
            </w:r>
          </w:p>
        </w:tc>
        <w:tc>
          <w:tcPr>
            <w:tcW w:w="9900" w:type="dxa"/>
          </w:tcPr>
          <w:p w14:paraId="0E9C5321" w14:textId="77777777" w:rsidR="00852E4A" w:rsidRPr="00BF5473" w:rsidRDefault="00852E4A" w:rsidP="00635657">
            <w:pPr>
              <w:spacing w:after="60"/>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Definitions</w:t>
            </w:r>
          </w:p>
        </w:tc>
      </w:tr>
      <w:tr w:rsidR="00852E4A" w:rsidRPr="00BF5473" w14:paraId="60561160" w14:textId="77777777" w:rsidTr="003B7749">
        <w:tc>
          <w:tcPr>
            <w:tcW w:w="2185" w:type="dxa"/>
            <w:vMerge w:val="restart"/>
          </w:tcPr>
          <w:p w14:paraId="4C42A080" w14:textId="77777777" w:rsidR="00852E4A" w:rsidRPr="00BF5473" w:rsidRDefault="00852E4A" w:rsidP="00852E4A">
            <w:pPr>
              <w:jc w:val="center"/>
              <w:rPr>
                <w:rFonts w:asciiTheme="majorHAnsi" w:hAnsiTheme="majorHAnsi"/>
                <w:b/>
                <w:sz w:val="18"/>
                <w:szCs w:val="18"/>
              </w:rPr>
            </w:pPr>
            <w:r w:rsidRPr="00BF5473">
              <w:rPr>
                <w:rFonts w:asciiTheme="majorHAnsi" w:hAnsiTheme="majorHAnsi"/>
                <w:b/>
                <w:sz w:val="18"/>
                <w:szCs w:val="18"/>
              </w:rPr>
              <w:t>A</w:t>
            </w:r>
          </w:p>
          <w:p w14:paraId="3314250B" w14:textId="77777777" w:rsidR="00852E4A" w:rsidRPr="00BF5473" w:rsidRDefault="00852E4A" w:rsidP="00852E4A">
            <w:pPr>
              <w:rPr>
                <w:rFonts w:asciiTheme="majorHAnsi" w:hAnsiTheme="majorHAnsi"/>
                <w:sz w:val="18"/>
                <w:szCs w:val="18"/>
              </w:rPr>
            </w:pPr>
            <w:r w:rsidRPr="00BF5473">
              <w:rPr>
                <w:rFonts w:asciiTheme="majorHAnsi" w:hAnsiTheme="majorHAnsi"/>
                <w:sz w:val="18"/>
                <w:szCs w:val="18"/>
              </w:rPr>
              <w:t xml:space="preserve">Student participated in work-based learning </w:t>
            </w:r>
            <w:r w:rsidRPr="00BF5473">
              <w:rPr>
                <w:rFonts w:asciiTheme="majorHAnsi" w:hAnsiTheme="majorHAnsi"/>
                <w:b/>
                <w:sz w:val="18"/>
                <w:szCs w:val="18"/>
              </w:rPr>
              <w:t>preparing the student for employment</w:t>
            </w:r>
            <w:r w:rsidRPr="00BF5473">
              <w:rPr>
                <w:rFonts w:asciiTheme="majorHAnsi" w:hAnsiTheme="majorHAnsi"/>
                <w:sz w:val="18"/>
                <w:szCs w:val="18"/>
              </w:rPr>
              <w:t xml:space="preserve"> in a specific range of occupations, such as:</w:t>
            </w:r>
          </w:p>
          <w:p w14:paraId="26DDE8F8" w14:textId="77777777" w:rsidR="00852E4A" w:rsidRPr="00BF5473" w:rsidRDefault="00852E4A" w:rsidP="00852E4A">
            <w:pPr>
              <w:pStyle w:val="ListParagraph"/>
              <w:numPr>
                <w:ilvl w:val="0"/>
                <w:numId w:val="2"/>
              </w:numPr>
              <w:rPr>
                <w:rFonts w:asciiTheme="majorHAnsi" w:hAnsiTheme="majorHAnsi"/>
                <w:sz w:val="18"/>
                <w:szCs w:val="18"/>
              </w:rPr>
            </w:pPr>
            <w:r w:rsidRPr="00BF5473">
              <w:rPr>
                <w:rFonts w:asciiTheme="majorHAnsi" w:hAnsiTheme="majorHAnsi"/>
                <w:sz w:val="18"/>
                <w:szCs w:val="18"/>
              </w:rPr>
              <w:t xml:space="preserve">internships </w:t>
            </w:r>
          </w:p>
          <w:p w14:paraId="2A3F40FF" w14:textId="77777777" w:rsidR="00852E4A" w:rsidRPr="00BF5473" w:rsidRDefault="00852E4A" w:rsidP="00852E4A">
            <w:pPr>
              <w:pStyle w:val="ListParagraph"/>
              <w:numPr>
                <w:ilvl w:val="0"/>
                <w:numId w:val="2"/>
              </w:numPr>
              <w:rPr>
                <w:rFonts w:asciiTheme="majorHAnsi" w:hAnsiTheme="majorHAnsi"/>
                <w:sz w:val="18"/>
                <w:szCs w:val="18"/>
              </w:rPr>
            </w:pPr>
            <w:r w:rsidRPr="00BF5473">
              <w:rPr>
                <w:rFonts w:asciiTheme="majorHAnsi" w:hAnsiTheme="majorHAnsi"/>
                <w:sz w:val="18"/>
                <w:szCs w:val="18"/>
              </w:rPr>
              <w:t xml:space="preserve">work experience </w:t>
            </w:r>
          </w:p>
          <w:p w14:paraId="57AD3460" w14:textId="77777777" w:rsidR="00852E4A" w:rsidRPr="00BF5473" w:rsidRDefault="00852E4A" w:rsidP="00852E4A">
            <w:pPr>
              <w:pStyle w:val="ListParagraph"/>
              <w:numPr>
                <w:ilvl w:val="0"/>
                <w:numId w:val="2"/>
              </w:numPr>
              <w:rPr>
                <w:rFonts w:asciiTheme="majorHAnsi" w:hAnsiTheme="majorHAnsi"/>
                <w:sz w:val="18"/>
                <w:szCs w:val="18"/>
              </w:rPr>
            </w:pPr>
            <w:r w:rsidRPr="00BF5473">
              <w:rPr>
                <w:rFonts w:asciiTheme="majorHAnsi" w:hAnsiTheme="majorHAnsi"/>
                <w:sz w:val="18"/>
                <w:szCs w:val="18"/>
              </w:rPr>
              <w:t>capstone projects</w:t>
            </w:r>
          </w:p>
          <w:p w14:paraId="15B887BB" w14:textId="77777777" w:rsidR="00852E4A" w:rsidRPr="00BF5473" w:rsidRDefault="00852E4A" w:rsidP="00962134">
            <w:pPr>
              <w:rPr>
                <w:rFonts w:asciiTheme="majorHAnsi" w:eastAsia="Times New Roman" w:hAnsiTheme="majorHAnsi" w:cstheme="majorHAnsi"/>
                <w:b/>
                <w:sz w:val="18"/>
                <w:szCs w:val="18"/>
              </w:rPr>
            </w:pPr>
          </w:p>
        </w:tc>
        <w:tc>
          <w:tcPr>
            <w:tcW w:w="2520" w:type="dxa"/>
          </w:tcPr>
          <w:p w14:paraId="4A0CF915" w14:textId="77777777" w:rsidR="00852E4A" w:rsidRPr="00BF5473" w:rsidRDefault="00852E4A" w:rsidP="00852E4A">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Internships (Unpaid)</w:t>
            </w:r>
          </w:p>
          <w:p w14:paraId="7DA3AA3A" w14:textId="77777777" w:rsidR="00852E4A" w:rsidRPr="00BF5473" w:rsidRDefault="00852E4A" w:rsidP="00962134">
            <w:pPr>
              <w:rPr>
                <w:rFonts w:asciiTheme="majorHAnsi" w:eastAsia="Times New Roman" w:hAnsiTheme="majorHAnsi" w:cstheme="majorHAnsi"/>
                <w:b/>
                <w:sz w:val="18"/>
                <w:szCs w:val="18"/>
              </w:rPr>
            </w:pPr>
          </w:p>
          <w:p w14:paraId="0BDCA34D" w14:textId="5824C202" w:rsidR="009D785D" w:rsidRPr="00BF5473" w:rsidRDefault="009D785D" w:rsidP="00962134">
            <w:pPr>
              <w:rPr>
                <w:rFonts w:asciiTheme="majorHAnsi" w:eastAsia="Times New Roman" w:hAnsiTheme="majorHAnsi" w:cstheme="majorHAnsi"/>
                <w:b/>
                <w:sz w:val="18"/>
                <w:szCs w:val="18"/>
              </w:rPr>
            </w:pPr>
          </w:p>
        </w:tc>
        <w:tc>
          <w:tcPr>
            <w:tcW w:w="9900" w:type="dxa"/>
          </w:tcPr>
          <w:p w14:paraId="2A718708" w14:textId="6EBC6B06" w:rsidR="00852E4A" w:rsidRPr="00BF5473" w:rsidRDefault="00852E4A" w:rsidP="00635657">
            <w:pPr>
              <w:spacing w:after="60"/>
              <w:rPr>
                <w:rFonts w:asciiTheme="majorHAnsi" w:eastAsia="Times New Roman" w:hAnsiTheme="majorHAnsi" w:cstheme="majorHAnsi"/>
                <w:sz w:val="18"/>
                <w:szCs w:val="18"/>
              </w:rPr>
            </w:pPr>
            <w:r w:rsidRPr="00BF5473">
              <w:rPr>
                <w:rFonts w:asciiTheme="majorHAnsi" w:hAnsiTheme="majorHAnsi" w:cstheme="majorHAnsi"/>
                <w:sz w:val="18"/>
                <w:szCs w:val="18"/>
              </w:rPr>
              <w:t>Sustained work-based learning experiences designed to enrich and expand classroom learning, showing students how their learning is applied in the world outside of school, and offering access to tools, equipment, facilities, and expertise that are generally not available at school. Learning objectives are specified and student performance is assessed. In unpaid internships, learning takes precedence over production. (</w:t>
            </w:r>
            <w:proofErr w:type="spellStart"/>
            <w:r w:rsidRPr="00BF5473">
              <w:rPr>
                <w:rFonts w:asciiTheme="majorHAnsi" w:hAnsiTheme="majorHAnsi" w:cstheme="majorHAnsi"/>
                <w:sz w:val="18"/>
                <w:szCs w:val="18"/>
              </w:rPr>
              <w:t>WestEd</w:t>
            </w:r>
            <w:proofErr w:type="spellEnd"/>
            <w:r w:rsidRPr="00BF5473">
              <w:rPr>
                <w:rFonts w:asciiTheme="majorHAnsi" w:hAnsiTheme="majorHAnsi" w:cstheme="majorHAnsi"/>
                <w:sz w:val="18"/>
                <w:szCs w:val="18"/>
              </w:rPr>
              <w:t>, Work-Based Learning in California)</w:t>
            </w:r>
          </w:p>
        </w:tc>
      </w:tr>
      <w:tr w:rsidR="00852E4A" w:rsidRPr="00BF5473" w14:paraId="26B2CE8C" w14:textId="77777777" w:rsidTr="003B7749">
        <w:tc>
          <w:tcPr>
            <w:tcW w:w="2185" w:type="dxa"/>
            <w:vMerge/>
          </w:tcPr>
          <w:p w14:paraId="7DE69CEA" w14:textId="77777777" w:rsidR="00852E4A" w:rsidRPr="00BF5473" w:rsidRDefault="00852E4A" w:rsidP="00852E4A">
            <w:pPr>
              <w:rPr>
                <w:rFonts w:asciiTheme="majorHAnsi" w:eastAsia="Times New Roman" w:hAnsiTheme="majorHAnsi" w:cstheme="majorHAnsi"/>
                <w:b/>
                <w:sz w:val="18"/>
                <w:szCs w:val="18"/>
              </w:rPr>
            </w:pPr>
          </w:p>
        </w:tc>
        <w:tc>
          <w:tcPr>
            <w:tcW w:w="2520" w:type="dxa"/>
          </w:tcPr>
          <w:p w14:paraId="4C778AB8" w14:textId="77777777" w:rsidR="00852E4A" w:rsidRPr="00BF5473" w:rsidRDefault="00852E4A" w:rsidP="00852E4A">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Internships (Paid)</w:t>
            </w:r>
          </w:p>
          <w:p w14:paraId="131EB1F9" w14:textId="77777777" w:rsidR="00852E4A" w:rsidRPr="00BF5473" w:rsidRDefault="00852E4A" w:rsidP="00852E4A">
            <w:pPr>
              <w:rPr>
                <w:rFonts w:asciiTheme="majorHAnsi" w:eastAsia="Times New Roman" w:hAnsiTheme="majorHAnsi" w:cstheme="majorHAnsi"/>
                <w:b/>
                <w:sz w:val="18"/>
                <w:szCs w:val="18"/>
              </w:rPr>
            </w:pPr>
          </w:p>
        </w:tc>
        <w:tc>
          <w:tcPr>
            <w:tcW w:w="9900" w:type="dxa"/>
          </w:tcPr>
          <w:p w14:paraId="1B9E65C4" w14:textId="21118D56" w:rsidR="00852E4A" w:rsidRPr="00BF5473" w:rsidRDefault="00852E4A"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Sustained work-based learning experiences designed to enrich and expand classroom learning, showing students how their learning is applied in the world outside of school, and offering access to tools, equipment, facilities, and expertise that are generally not available at school. Learning objectives are specified and student performance is assessed. In paid internships students are required to meet the employers’ expectations for productive work; these expectations, however, unlike in regular jobs, are discussed in advance with the employer and crafted to ensure that they also address the students’ learning goals. (WestEd, Work-Based Learning in California)</w:t>
            </w:r>
          </w:p>
        </w:tc>
      </w:tr>
      <w:tr w:rsidR="00567E01" w:rsidRPr="00BF5473" w14:paraId="5AC0EC49" w14:textId="77777777" w:rsidTr="003B7749">
        <w:tc>
          <w:tcPr>
            <w:tcW w:w="2185" w:type="dxa"/>
            <w:vMerge/>
          </w:tcPr>
          <w:p w14:paraId="208136C4" w14:textId="77777777" w:rsidR="00567E01" w:rsidRPr="00BF5473" w:rsidRDefault="00567E01" w:rsidP="00852E4A">
            <w:pPr>
              <w:rPr>
                <w:rFonts w:asciiTheme="majorHAnsi" w:eastAsia="Times New Roman" w:hAnsiTheme="majorHAnsi" w:cstheme="majorHAnsi"/>
                <w:b/>
                <w:sz w:val="18"/>
                <w:szCs w:val="18"/>
              </w:rPr>
            </w:pPr>
          </w:p>
        </w:tc>
        <w:tc>
          <w:tcPr>
            <w:tcW w:w="2520" w:type="dxa"/>
          </w:tcPr>
          <w:p w14:paraId="181EC8CF" w14:textId="0529A1B1" w:rsidR="00567E01" w:rsidRPr="00BF5473" w:rsidRDefault="00567E01" w:rsidP="00852E4A">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Research-based and field experiences</w:t>
            </w:r>
          </w:p>
        </w:tc>
        <w:tc>
          <w:tcPr>
            <w:tcW w:w="9900" w:type="dxa"/>
          </w:tcPr>
          <w:p w14:paraId="700A6B3D" w14:textId="0AE1AF41" w:rsidR="00567E01" w:rsidRPr="00BF5473" w:rsidRDefault="00567E01"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Opportunities for students to participate in unpaid and paid research projects</w:t>
            </w:r>
            <w:r w:rsidR="001E4CCD" w:rsidRPr="00BF5473">
              <w:rPr>
                <w:rFonts w:asciiTheme="majorHAnsi" w:hAnsiTheme="majorHAnsi" w:cstheme="majorHAnsi"/>
                <w:sz w:val="18"/>
                <w:szCs w:val="18"/>
              </w:rPr>
              <w:t xml:space="preserve"> (e.g. in sciences, social sciences, media studies) and field experiences (e.g. in environmental sciences) that extend classroom learning. Research-based and field experiences  teach skills that are difficult to teach or learn in classrooms (e.g. the importance of calibrating instruments or the importance of safety procedures), demystify </w:t>
            </w:r>
            <w:r w:rsidR="00617438" w:rsidRPr="00BF5473">
              <w:rPr>
                <w:rFonts w:asciiTheme="majorHAnsi" w:hAnsiTheme="majorHAnsi" w:cstheme="majorHAnsi"/>
                <w:sz w:val="18"/>
                <w:szCs w:val="18"/>
              </w:rPr>
              <w:t xml:space="preserve">and </w:t>
            </w:r>
            <w:r w:rsidR="001E4CCD" w:rsidRPr="00BF5473">
              <w:rPr>
                <w:rFonts w:asciiTheme="majorHAnsi" w:hAnsiTheme="majorHAnsi" w:cstheme="majorHAnsi"/>
                <w:sz w:val="18"/>
                <w:szCs w:val="18"/>
              </w:rPr>
              <w:t>enhance motivation for learning research skills</w:t>
            </w:r>
            <w:r w:rsidR="00617438" w:rsidRPr="00BF5473">
              <w:rPr>
                <w:rFonts w:asciiTheme="majorHAnsi" w:hAnsiTheme="majorHAnsi" w:cstheme="majorHAnsi"/>
                <w:sz w:val="18"/>
                <w:szCs w:val="18"/>
              </w:rPr>
              <w:t xml:space="preserve"> or exploring the natural world</w:t>
            </w:r>
            <w:r w:rsidR="001E4CCD" w:rsidRPr="00BF5473">
              <w:rPr>
                <w:rFonts w:asciiTheme="majorHAnsi" w:hAnsiTheme="majorHAnsi" w:cstheme="majorHAnsi"/>
                <w:sz w:val="18"/>
                <w:szCs w:val="18"/>
              </w:rPr>
              <w:t xml:space="preserve">, </w:t>
            </w:r>
            <w:r w:rsidR="00617438" w:rsidRPr="00BF5473">
              <w:rPr>
                <w:rFonts w:asciiTheme="majorHAnsi" w:hAnsiTheme="majorHAnsi" w:cstheme="majorHAnsi"/>
                <w:sz w:val="18"/>
                <w:szCs w:val="18"/>
              </w:rPr>
              <w:t xml:space="preserve">support critical thinking in the collection and use of data, </w:t>
            </w:r>
            <w:r w:rsidR="001E4CCD" w:rsidRPr="00BF5473">
              <w:rPr>
                <w:rFonts w:asciiTheme="majorHAnsi" w:hAnsiTheme="majorHAnsi" w:cstheme="majorHAnsi"/>
                <w:sz w:val="18"/>
                <w:szCs w:val="18"/>
              </w:rPr>
              <w:t xml:space="preserve">and </w:t>
            </w:r>
            <w:r w:rsidR="001E4CCD" w:rsidRPr="00BF5473">
              <w:rPr>
                <w:rFonts w:asciiTheme="majorHAnsi" w:hAnsiTheme="majorHAnsi" w:cs="Arial"/>
                <w:sz w:val="18"/>
                <w:szCs w:val="18"/>
              </w:rPr>
              <w:t>provide opportunities to apply knowledge learned in the classroom to the real world outside of school.</w:t>
            </w:r>
          </w:p>
        </w:tc>
      </w:tr>
      <w:tr w:rsidR="00852E4A" w:rsidRPr="00BF5473" w14:paraId="02DB0E43" w14:textId="77777777" w:rsidTr="003B7749">
        <w:tc>
          <w:tcPr>
            <w:tcW w:w="2185" w:type="dxa"/>
            <w:vMerge/>
          </w:tcPr>
          <w:p w14:paraId="34AA8922" w14:textId="77777777" w:rsidR="00852E4A" w:rsidRPr="00BF5473" w:rsidRDefault="00852E4A" w:rsidP="00852E4A">
            <w:pPr>
              <w:rPr>
                <w:rFonts w:asciiTheme="majorHAnsi" w:eastAsia="Times New Roman" w:hAnsiTheme="majorHAnsi" w:cstheme="majorHAnsi"/>
                <w:b/>
                <w:sz w:val="18"/>
                <w:szCs w:val="18"/>
              </w:rPr>
            </w:pPr>
          </w:p>
        </w:tc>
        <w:tc>
          <w:tcPr>
            <w:tcW w:w="2520" w:type="dxa"/>
          </w:tcPr>
          <w:p w14:paraId="59B8259B" w14:textId="77777777" w:rsidR="00852E4A" w:rsidRPr="00BF5473" w:rsidRDefault="00852E4A" w:rsidP="00852E4A">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Apprenticeships</w:t>
            </w:r>
          </w:p>
          <w:p w14:paraId="0D5BA0A4" w14:textId="77777777" w:rsidR="00852E4A" w:rsidRPr="00BF5473" w:rsidRDefault="00852E4A" w:rsidP="00852E4A">
            <w:pPr>
              <w:rPr>
                <w:rFonts w:asciiTheme="majorHAnsi" w:eastAsia="Times New Roman" w:hAnsiTheme="majorHAnsi" w:cstheme="majorHAnsi"/>
                <w:b/>
                <w:sz w:val="18"/>
                <w:szCs w:val="18"/>
              </w:rPr>
            </w:pPr>
          </w:p>
        </w:tc>
        <w:tc>
          <w:tcPr>
            <w:tcW w:w="9900" w:type="dxa"/>
          </w:tcPr>
          <w:p w14:paraId="0F2E6B67" w14:textId="088791D0" w:rsidR="00852E4A" w:rsidRPr="00BF5473" w:rsidRDefault="00852E4A"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E</w:t>
            </w:r>
            <w:r w:rsidRPr="00BF5473">
              <w:rPr>
                <w:rFonts w:asciiTheme="majorHAnsi" w:hAnsiTheme="majorHAnsi"/>
                <w:sz w:val="18"/>
                <w:szCs w:val="18"/>
              </w:rPr>
              <w:t>xperiences for students in one or more crafts or trades</w:t>
            </w:r>
            <w:r w:rsidRPr="00BF5473">
              <w:rPr>
                <w:rFonts w:asciiTheme="majorHAnsi" w:hAnsiTheme="majorHAnsi" w:cstheme="majorHAnsi"/>
                <w:sz w:val="18"/>
                <w:szCs w:val="18"/>
              </w:rPr>
              <w:t xml:space="preserve"> that combine classroom and on-the-job training</w:t>
            </w:r>
            <w:r w:rsidRPr="00BF5473">
              <w:rPr>
                <w:rFonts w:asciiTheme="majorHAnsi" w:hAnsiTheme="majorHAnsi"/>
                <w:sz w:val="18"/>
                <w:szCs w:val="18"/>
              </w:rPr>
              <w:t xml:space="preserve">. </w:t>
            </w:r>
            <w:r w:rsidRPr="00BF5473">
              <w:rPr>
                <w:rFonts w:asciiTheme="majorHAnsi" w:hAnsiTheme="majorHAnsi" w:cstheme="majorHAnsi"/>
                <w:sz w:val="18"/>
                <w:szCs w:val="18"/>
                <w:shd w:val="clear" w:color="auto" w:fill="FFFFFF"/>
              </w:rPr>
              <w:t>Students learn and practice all phases of the trade or occupation in real-world applications. “Registered Apprenticeship” is a training strategy that pays wages to apprentices during the term of their apprenticeship. These wages are a portion of the skilled wage rate that increases throughout the training program in accordance with a predetermined union negotiated wage scale. (California Apprenticeship Coordinators Association)</w:t>
            </w:r>
          </w:p>
        </w:tc>
      </w:tr>
      <w:tr w:rsidR="00852E4A" w:rsidRPr="00BF5473" w14:paraId="032145D7" w14:textId="77777777" w:rsidTr="003B7749">
        <w:tc>
          <w:tcPr>
            <w:tcW w:w="2185" w:type="dxa"/>
            <w:vMerge/>
          </w:tcPr>
          <w:p w14:paraId="28BECA87" w14:textId="77777777" w:rsidR="00852E4A" w:rsidRPr="00BF5473" w:rsidRDefault="00852E4A" w:rsidP="00852E4A">
            <w:pPr>
              <w:rPr>
                <w:rFonts w:asciiTheme="majorHAnsi" w:eastAsia="Times New Roman" w:hAnsiTheme="majorHAnsi" w:cstheme="majorHAnsi"/>
                <w:b/>
                <w:sz w:val="18"/>
                <w:szCs w:val="18"/>
              </w:rPr>
            </w:pPr>
          </w:p>
        </w:tc>
        <w:tc>
          <w:tcPr>
            <w:tcW w:w="2520" w:type="dxa"/>
          </w:tcPr>
          <w:p w14:paraId="53F19E9F" w14:textId="77777777" w:rsidR="00852E4A" w:rsidRPr="00BF5473" w:rsidRDefault="00852E4A" w:rsidP="00852E4A">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 xml:space="preserve">Clinical experiences </w:t>
            </w:r>
          </w:p>
          <w:p w14:paraId="3A6C5AA3" w14:textId="77777777" w:rsidR="00852E4A" w:rsidRPr="00BF5473" w:rsidRDefault="00852E4A" w:rsidP="00852E4A">
            <w:pPr>
              <w:rPr>
                <w:rFonts w:asciiTheme="majorHAnsi" w:eastAsia="Times New Roman" w:hAnsiTheme="majorHAnsi" w:cstheme="majorHAnsi"/>
                <w:b/>
                <w:sz w:val="18"/>
                <w:szCs w:val="18"/>
              </w:rPr>
            </w:pPr>
          </w:p>
        </w:tc>
        <w:tc>
          <w:tcPr>
            <w:tcW w:w="9900" w:type="dxa"/>
          </w:tcPr>
          <w:p w14:paraId="69DDF588" w14:textId="775F0D3B" w:rsidR="00852E4A" w:rsidRPr="00BF5473" w:rsidRDefault="00852E4A" w:rsidP="00635657">
            <w:pPr>
              <w:pStyle w:val="FootnoteText"/>
              <w:spacing w:after="60"/>
              <w:rPr>
                <w:rFonts w:asciiTheme="majorHAnsi" w:hAnsiTheme="majorHAnsi" w:cstheme="majorHAnsi"/>
                <w:sz w:val="18"/>
                <w:szCs w:val="18"/>
              </w:rPr>
            </w:pPr>
            <w:r w:rsidRPr="00BF5473">
              <w:rPr>
                <w:rFonts w:asciiTheme="majorHAnsi" w:hAnsiTheme="majorHAnsi"/>
                <w:sz w:val="18"/>
                <w:szCs w:val="18"/>
              </w:rPr>
              <w:t>Clinical training combines classroom learning with supervised hands-on immersion experiences in specific fields, mostly in industries that involve human services. In health fields, clinical training is founded on actual observation and lab instruction and/or treatment of patients, as distinguished from theoretical or experimental training. The training is usually highly specialized and includes coursework specific to performing functions and tasks in an actual workplace. (Sources: Siemens Clinical Training &amp; Continuing Education; Clinical Training Institute as cited by National Network in </w:t>
            </w:r>
            <w:r w:rsidRPr="00BF5473">
              <w:rPr>
                <w:rFonts w:asciiTheme="majorHAnsi" w:hAnsiTheme="majorHAnsi"/>
                <w:iCs/>
                <w:sz w:val="18"/>
                <w:szCs w:val="18"/>
              </w:rPr>
              <w:t>Successful Strategies for Employers</w:t>
            </w:r>
            <w:r w:rsidRPr="00BF5473">
              <w:rPr>
                <w:rFonts w:asciiTheme="majorHAnsi" w:hAnsiTheme="majorHAnsi"/>
                <w:sz w:val="18"/>
                <w:szCs w:val="18"/>
              </w:rPr>
              <w:t>)</w:t>
            </w:r>
          </w:p>
        </w:tc>
      </w:tr>
      <w:tr w:rsidR="00852E4A" w:rsidRPr="00BF5473" w14:paraId="70F1FEA8" w14:textId="77777777" w:rsidTr="003B7749">
        <w:tc>
          <w:tcPr>
            <w:tcW w:w="2185" w:type="dxa"/>
            <w:vMerge/>
          </w:tcPr>
          <w:p w14:paraId="2E80FE02" w14:textId="77777777" w:rsidR="00852E4A" w:rsidRPr="00BF5473" w:rsidRDefault="00852E4A" w:rsidP="00852E4A">
            <w:pPr>
              <w:rPr>
                <w:rFonts w:asciiTheme="majorHAnsi" w:eastAsia="Times New Roman" w:hAnsiTheme="majorHAnsi" w:cstheme="majorHAnsi"/>
                <w:b/>
                <w:sz w:val="18"/>
                <w:szCs w:val="18"/>
              </w:rPr>
            </w:pPr>
          </w:p>
        </w:tc>
        <w:tc>
          <w:tcPr>
            <w:tcW w:w="2520" w:type="dxa"/>
          </w:tcPr>
          <w:p w14:paraId="148B779D" w14:textId="77777777" w:rsidR="00852E4A" w:rsidRPr="00BF5473" w:rsidRDefault="00852E4A" w:rsidP="00852E4A">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 xml:space="preserve">On-the-job training </w:t>
            </w:r>
          </w:p>
          <w:p w14:paraId="259D4F59" w14:textId="77777777" w:rsidR="00852E4A" w:rsidRPr="00BF5473" w:rsidRDefault="00852E4A" w:rsidP="00852E4A">
            <w:pPr>
              <w:rPr>
                <w:rFonts w:asciiTheme="majorHAnsi" w:eastAsia="Times New Roman" w:hAnsiTheme="majorHAnsi" w:cstheme="majorHAnsi"/>
                <w:b/>
                <w:sz w:val="18"/>
                <w:szCs w:val="18"/>
              </w:rPr>
            </w:pPr>
          </w:p>
        </w:tc>
        <w:tc>
          <w:tcPr>
            <w:tcW w:w="9900" w:type="dxa"/>
          </w:tcPr>
          <w:p w14:paraId="1EF9D1CA" w14:textId="45787A28" w:rsidR="00852E4A" w:rsidRPr="00BF5473" w:rsidRDefault="00852E4A"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Training by an employer that is provided to a paid participant while engaged in productive work in a job that provides knowledge or skills essential to the full and adequate performance of the job. OJT is generally of limited duration.</w:t>
            </w:r>
            <w:r w:rsidRPr="00BF5473">
              <w:rPr>
                <w:rFonts w:asciiTheme="majorHAnsi" w:hAnsiTheme="majorHAnsi" w:cstheme="majorHAnsi"/>
                <w:spacing w:val="-4"/>
                <w:sz w:val="18"/>
                <w:szCs w:val="18"/>
              </w:rPr>
              <w:t xml:space="preserve">  (Code of Federal Regulations and Workforce Investment Act)</w:t>
            </w:r>
          </w:p>
        </w:tc>
      </w:tr>
      <w:tr w:rsidR="00852E4A" w:rsidRPr="00BF5473" w14:paraId="73095C55" w14:textId="77777777" w:rsidTr="003B7749">
        <w:trPr>
          <w:trHeight w:val="1961"/>
        </w:trPr>
        <w:tc>
          <w:tcPr>
            <w:tcW w:w="2185" w:type="dxa"/>
            <w:vMerge/>
          </w:tcPr>
          <w:p w14:paraId="0EC36FCA" w14:textId="77777777" w:rsidR="00852E4A" w:rsidRPr="00BF5473" w:rsidRDefault="00852E4A" w:rsidP="00852E4A">
            <w:pPr>
              <w:rPr>
                <w:rFonts w:asciiTheme="majorHAnsi" w:eastAsia="Times New Roman" w:hAnsiTheme="majorHAnsi" w:cstheme="majorHAnsi"/>
                <w:b/>
                <w:sz w:val="18"/>
                <w:szCs w:val="18"/>
              </w:rPr>
            </w:pPr>
          </w:p>
        </w:tc>
        <w:tc>
          <w:tcPr>
            <w:tcW w:w="2520" w:type="dxa"/>
          </w:tcPr>
          <w:p w14:paraId="39F32C3F" w14:textId="77777777" w:rsidR="00852E4A" w:rsidRPr="00BF5473" w:rsidRDefault="00852E4A" w:rsidP="00852E4A">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Cooperative work experience education</w:t>
            </w:r>
          </w:p>
          <w:p w14:paraId="7AA45C7D" w14:textId="77777777" w:rsidR="00852E4A" w:rsidRPr="00BF5473" w:rsidRDefault="00852E4A" w:rsidP="00852E4A">
            <w:pPr>
              <w:rPr>
                <w:rFonts w:asciiTheme="majorHAnsi" w:eastAsia="Times New Roman" w:hAnsiTheme="majorHAnsi" w:cstheme="majorHAnsi"/>
                <w:b/>
                <w:sz w:val="18"/>
                <w:szCs w:val="18"/>
              </w:rPr>
            </w:pPr>
          </w:p>
        </w:tc>
        <w:tc>
          <w:tcPr>
            <w:tcW w:w="9900" w:type="dxa"/>
          </w:tcPr>
          <w:p w14:paraId="40F52CF3" w14:textId="77777777" w:rsidR="00852E4A" w:rsidRPr="00BF5473" w:rsidRDefault="00852E4A" w:rsidP="00635657">
            <w:pPr>
              <w:spacing w:after="60"/>
              <w:rPr>
                <w:rFonts w:asciiTheme="majorHAnsi" w:hAnsiTheme="majorHAnsi" w:cstheme="majorHAnsi"/>
                <w:sz w:val="18"/>
                <w:szCs w:val="18"/>
              </w:rPr>
            </w:pPr>
            <w:r w:rsidRPr="00BF5473">
              <w:rPr>
                <w:rFonts w:asciiTheme="majorHAnsi" w:hAnsiTheme="majorHAnsi" w:cstheme="majorHAnsi"/>
                <w:sz w:val="18"/>
                <w:szCs w:val="18"/>
              </w:rPr>
              <w:t>The employment of students in part-time jobs selected and approved as having educational value for the students employed therein and coordinated by college employees. (Title 5 § 55250.3)</w:t>
            </w:r>
          </w:p>
          <w:p w14:paraId="18CA4BBC" w14:textId="77777777" w:rsidR="00852E4A" w:rsidRPr="00BF5473" w:rsidRDefault="00852E4A" w:rsidP="00635657">
            <w:pPr>
              <w:spacing w:after="60"/>
              <w:rPr>
                <w:rFonts w:asciiTheme="majorHAnsi" w:hAnsiTheme="majorHAnsi" w:cstheme="majorHAnsi"/>
                <w:sz w:val="18"/>
                <w:szCs w:val="18"/>
              </w:rPr>
            </w:pPr>
            <w:r w:rsidRPr="00BF5473">
              <w:rPr>
                <w:rFonts w:asciiTheme="majorHAnsi" w:hAnsiTheme="majorHAnsi" w:cstheme="majorHAnsi"/>
                <w:sz w:val="18"/>
                <w:szCs w:val="18"/>
              </w:rPr>
              <w:t xml:space="preserve">(a) General Work Experience Education is supervised employment which is intended to assist students in acquiring desirable work habits, attitudes and career awareness. The work experience need not be related to the students' educational goals. Student’s jobs need not be directly related to their educational goals. (Title 5 §55252) </w:t>
            </w:r>
          </w:p>
          <w:p w14:paraId="0E7D2BE3" w14:textId="2F1BE7A3" w:rsidR="00852E4A" w:rsidRPr="00BF5473" w:rsidRDefault="00852E4A" w:rsidP="00635657">
            <w:pPr>
              <w:spacing w:after="60"/>
              <w:rPr>
                <w:rFonts w:asciiTheme="majorHAnsi" w:hAnsiTheme="majorHAnsi" w:cstheme="majorHAnsi"/>
                <w:sz w:val="18"/>
                <w:szCs w:val="18"/>
              </w:rPr>
            </w:pPr>
            <w:r w:rsidRPr="00BF5473">
              <w:rPr>
                <w:rFonts w:asciiTheme="majorHAnsi" w:hAnsiTheme="majorHAnsi" w:cstheme="majorHAnsi"/>
                <w:sz w:val="18"/>
                <w:szCs w:val="18"/>
              </w:rPr>
              <w:t xml:space="preserve">(b) Occupational Work Experience Education is supervised employment extending classroom based occupational learning at an on-the-job learning station relating to the students' educational or occupational goal.  (Title 5 §55252) </w:t>
            </w:r>
            <w:r w:rsidR="00454FD0" w:rsidRPr="00BF5473">
              <w:rPr>
                <w:rFonts w:asciiTheme="majorHAnsi" w:hAnsiTheme="majorHAnsi" w:cstheme="majorHAnsi"/>
                <w:sz w:val="18"/>
                <w:szCs w:val="18"/>
              </w:rPr>
              <w:t xml:space="preserve"> </w:t>
            </w:r>
            <w:r w:rsidRPr="00BF5473">
              <w:rPr>
                <w:rFonts w:asciiTheme="majorHAnsi" w:hAnsiTheme="majorHAnsi" w:cstheme="majorHAnsi"/>
                <w:sz w:val="18"/>
                <w:szCs w:val="18"/>
              </w:rPr>
              <w:t>https://extranet.cccco.edu/Portals/1/AA/Credit/2015/2015_07CI_CoopWorkExperience.pdf</w:t>
            </w:r>
          </w:p>
        </w:tc>
      </w:tr>
      <w:tr w:rsidR="00852E4A" w:rsidRPr="00BF5473" w14:paraId="7558A6CC" w14:textId="77777777" w:rsidTr="003B7749">
        <w:tc>
          <w:tcPr>
            <w:tcW w:w="2185" w:type="dxa"/>
            <w:vMerge/>
          </w:tcPr>
          <w:p w14:paraId="492823E9" w14:textId="77777777" w:rsidR="00852E4A" w:rsidRPr="00BF5473" w:rsidRDefault="00852E4A" w:rsidP="00852E4A">
            <w:pPr>
              <w:rPr>
                <w:rFonts w:asciiTheme="majorHAnsi" w:eastAsia="Times New Roman" w:hAnsiTheme="majorHAnsi" w:cstheme="majorHAnsi"/>
                <w:b/>
                <w:sz w:val="18"/>
                <w:szCs w:val="18"/>
              </w:rPr>
            </w:pPr>
          </w:p>
        </w:tc>
        <w:tc>
          <w:tcPr>
            <w:tcW w:w="2520" w:type="dxa"/>
          </w:tcPr>
          <w:p w14:paraId="23F68560" w14:textId="371C8BE3" w:rsidR="00852E4A" w:rsidRPr="00BF5473" w:rsidRDefault="00454FD0" w:rsidP="00852E4A">
            <w:pPr>
              <w:rPr>
                <w:rFonts w:asciiTheme="majorHAnsi" w:eastAsia="Times New Roman" w:hAnsiTheme="majorHAnsi" w:cstheme="majorHAnsi"/>
                <w:b/>
                <w:sz w:val="18"/>
                <w:szCs w:val="18"/>
              </w:rPr>
            </w:pPr>
            <w:r w:rsidRPr="00BF5473">
              <w:rPr>
                <w:rStyle w:val="FootnoteReference"/>
                <w:rFonts w:asciiTheme="majorHAnsi" w:eastAsia="Times New Roman" w:hAnsiTheme="majorHAnsi" w:cstheme="majorHAnsi"/>
                <w:b/>
                <w:sz w:val="18"/>
                <w:szCs w:val="18"/>
                <w:highlight w:val="yellow"/>
              </w:rPr>
              <w:footnoteReference w:id="1"/>
            </w:r>
            <w:r w:rsidR="00852E4A" w:rsidRPr="00BF5473">
              <w:rPr>
                <w:rFonts w:asciiTheme="majorHAnsi" w:eastAsia="Times New Roman" w:hAnsiTheme="majorHAnsi" w:cstheme="majorHAnsi"/>
                <w:b/>
                <w:sz w:val="18"/>
                <w:szCs w:val="18"/>
                <w:highlight w:val="yellow"/>
              </w:rPr>
              <w:t>Capstone projects</w:t>
            </w:r>
          </w:p>
        </w:tc>
        <w:tc>
          <w:tcPr>
            <w:tcW w:w="9900" w:type="dxa"/>
          </w:tcPr>
          <w:p w14:paraId="436784A6" w14:textId="330D29A3" w:rsidR="003B7749" w:rsidRPr="00BF5473" w:rsidRDefault="003B7749" w:rsidP="00635657">
            <w:pPr>
              <w:pStyle w:val="FootnoteText"/>
              <w:spacing w:after="60"/>
              <w:rPr>
                <w:rFonts w:asciiTheme="majorHAnsi" w:hAnsiTheme="majorHAnsi" w:cs="Arial"/>
                <w:sz w:val="18"/>
                <w:szCs w:val="18"/>
                <w:shd w:val="clear" w:color="auto" w:fill="FFFFFF"/>
              </w:rPr>
            </w:pPr>
            <w:r w:rsidRPr="00BF5473">
              <w:rPr>
                <w:rFonts w:asciiTheme="majorHAnsi" w:hAnsiTheme="majorHAnsi" w:cs="Arial"/>
                <w:sz w:val="18"/>
                <w:szCs w:val="18"/>
                <w:shd w:val="clear" w:color="auto" w:fill="FFFFFF"/>
              </w:rPr>
              <w:t xml:space="preserve">Projects involving a process in which students pursue independent research </w:t>
            </w:r>
            <w:r w:rsidR="00830501" w:rsidRPr="00BF5473">
              <w:rPr>
                <w:rFonts w:asciiTheme="majorHAnsi" w:hAnsiTheme="majorHAnsi" w:cs="Arial"/>
                <w:sz w:val="18"/>
                <w:szCs w:val="18"/>
                <w:shd w:val="clear" w:color="auto" w:fill="FFFFFF"/>
              </w:rPr>
              <w:t xml:space="preserve">or work </w:t>
            </w:r>
            <w:r w:rsidRPr="00BF5473">
              <w:rPr>
                <w:rFonts w:asciiTheme="majorHAnsi" w:hAnsiTheme="majorHAnsi" w:cs="Arial"/>
                <w:sz w:val="18"/>
                <w:szCs w:val="18"/>
                <w:shd w:val="clear" w:color="auto" w:fill="FFFFFF"/>
              </w:rPr>
              <w:t>on a question or problem of their choice, engage with the scholarly debates in the relevant disciplines, an</w:t>
            </w:r>
            <w:r w:rsidR="00D64F37" w:rsidRPr="00BF5473">
              <w:rPr>
                <w:rFonts w:asciiTheme="majorHAnsi" w:hAnsiTheme="majorHAnsi" w:cs="Arial"/>
                <w:sz w:val="18"/>
                <w:szCs w:val="18"/>
                <w:shd w:val="clear" w:color="auto" w:fill="FFFFFF"/>
              </w:rPr>
              <w:t xml:space="preserve">d — </w:t>
            </w:r>
            <w:r w:rsidRPr="00BF5473">
              <w:rPr>
                <w:rFonts w:asciiTheme="majorHAnsi" w:hAnsiTheme="majorHAnsi" w:cs="Arial"/>
                <w:sz w:val="18"/>
                <w:szCs w:val="18"/>
                <w:shd w:val="clear" w:color="auto" w:fill="FFFFFF"/>
              </w:rPr>
              <w:t xml:space="preserve">with the guidance of faculty </w:t>
            </w:r>
            <w:r w:rsidR="00830501" w:rsidRPr="00BF5473">
              <w:rPr>
                <w:rFonts w:asciiTheme="majorHAnsi" w:hAnsiTheme="majorHAnsi" w:cs="Arial"/>
                <w:sz w:val="18"/>
                <w:szCs w:val="18"/>
                <w:shd w:val="clear" w:color="auto" w:fill="FFFFFF"/>
              </w:rPr>
              <w:t xml:space="preserve">and industry </w:t>
            </w:r>
            <w:r w:rsidRPr="00BF5473">
              <w:rPr>
                <w:rFonts w:asciiTheme="majorHAnsi" w:hAnsiTheme="majorHAnsi" w:cs="Arial"/>
                <w:sz w:val="18"/>
                <w:szCs w:val="18"/>
                <w:shd w:val="clear" w:color="auto" w:fill="FFFFFF"/>
              </w:rPr>
              <w:t>mentor</w:t>
            </w:r>
            <w:r w:rsidR="00830501" w:rsidRPr="00BF5473">
              <w:rPr>
                <w:rFonts w:asciiTheme="majorHAnsi" w:hAnsiTheme="majorHAnsi" w:cs="Arial"/>
                <w:sz w:val="18"/>
                <w:szCs w:val="18"/>
                <w:shd w:val="clear" w:color="auto" w:fill="FFFFFF"/>
              </w:rPr>
              <w:t>s</w:t>
            </w:r>
            <w:r w:rsidRPr="00BF5473">
              <w:rPr>
                <w:rFonts w:asciiTheme="majorHAnsi" w:hAnsiTheme="majorHAnsi" w:cs="Arial"/>
                <w:sz w:val="18"/>
                <w:szCs w:val="18"/>
                <w:shd w:val="clear" w:color="auto" w:fill="FFFFFF"/>
              </w:rPr>
              <w:t xml:space="preserve"> </w:t>
            </w:r>
            <w:r w:rsidR="00D64F37" w:rsidRPr="00BF5473">
              <w:rPr>
                <w:rFonts w:asciiTheme="majorHAnsi" w:hAnsiTheme="majorHAnsi" w:cs="Arial"/>
                <w:sz w:val="18"/>
                <w:szCs w:val="18"/>
                <w:shd w:val="clear" w:color="auto" w:fill="FFFFFF"/>
              </w:rPr>
              <w:t xml:space="preserve">— </w:t>
            </w:r>
            <w:r w:rsidRPr="00BF5473">
              <w:rPr>
                <w:rFonts w:asciiTheme="majorHAnsi" w:hAnsiTheme="majorHAnsi" w:cs="Arial"/>
                <w:sz w:val="18"/>
                <w:szCs w:val="18"/>
                <w:shd w:val="clear" w:color="auto" w:fill="FFFFFF"/>
              </w:rPr>
              <w:t xml:space="preserve">produce a substantial paper </w:t>
            </w:r>
            <w:r w:rsidR="00830501" w:rsidRPr="00BF5473">
              <w:rPr>
                <w:rFonts w:asciiTheme="majorHAnsi" w:hAnsiTheme="majorHAnsi" w:cs="Arial"/>
                <w:sz w:val="18"/>
                <w:szCs w:val="18"/>
                <w:shd w:val="clear" w:color="auto" w:fill="FFFFFF"/>
              </w:rPr>
              <w:t xml:space="preserve">or product </w:t>
            </w:r>
            <w:r w:rsidRPr="00BF5473">
              <w:rPr>
                <w:rFonts w:asciiTheme="majorHAnsi" w:hAnsiTheme="majorHAnsi" w:cs="Arial"/>
                <w:sz w:val="18"/>
                <w:szCs w:val="18"/>
                <w:shd w:val="clear" w:color="auto" w:fill="FFFFFF"/>
              </w:rPr>
              <w:t>that reflects a deep understanding of the topic</w:t>
            </w:r>
            <w:r w:rsidR="00830501" w:rsidRPr="00BF5473">
              <w:rPr>
                <w:rFonts w:asciiTheme="majorHAnsi" w:hAnsiTheme="majorHAnsi" w:cstheme="majorHAnsi"/>
                <w:i/>
                <w:sz w:val="18"/>
                <w:szCs w:val="18"/>
              </w:rPr>
              <w:t xml:space="preserve"> </w:t>
            </w:r>
          </w:p>
        </w:tc>
      </w:tr>
      <w:tr w:rsidR="00567E01" w:rsidRPr="00BF5473" w14:paraId="76240844" w14:textId="77777777" w:rsidTr="00BF5473">
        <w:trPr>
          <w:trHeight w:val="746"/>
        </w:trPr>
        <w:tc>
          <w:tcPr>
            <w:tcW w:w="2185" w:type="dxa"/>
            <w:vMerge w:val="restart"/>
          </w:tcPr>
          <w:p w14:paraId="7F581463" w14:textId="332AB954" w:rsidR="00567E01" w:rsidRPr="00BF5473" w:rsidRDefault="00567E01" w:rsidP="00852E4A">
            <w:pPr>
              <w:jc w:val="center"/>
              <w:rPr>
                <w:rFonts w:asciiTheme="majorHAnsi" w:hAnsiTheme="majorHAnsi"/>
                <w:b/>
                <w:sz w:val="18"/>
                <w:szCs w:val="18"/>
              </w:rPr>
            </w:pPr>
            <w:r w:rsidRPr="00BF5473">
              <w:rPr>
                <w:rFonts w:asciiTheme="majorHAnsi" w:hAnsiTheme="majorHAnsi"/>
                <w:b/>
                <w:sz w:val="18"/>
                <w:szCs w:val="18"/>
              </w:rPr>
              <w:t>B</w:t>
            </w:r>
          </w:p>
          <w:p w14:paraId="7113058F" w14:textId="77777777" w:rsidR="00567E01" w:rsidRPr="00BF5473" w:rsidRDefault="00567E01" w:rsidP="00852E4A">
            <w:pPr>
              <w:rPr>
                <w:rFonts w:asciiTheme="majorHAnsi" w:hAnsiTheme="majorHAnsi"/>
                <w:sz w:val="18"/>
                <w:szCs w:val="18"/>
              </w:rPr>
            </w:pPr>
            <w:r w:rsidRPr="00BF5473">
              <w:rPr>
                <w:rFonts w:asciiTheme="majorHAnsi" w:hAnsiTheme="majorHAnsi"/>
                <w:sz w:val="18"/>
                <w:szCs w:val="18"/>
              </w:rPr>
              <w:t xml:space="preserve">Student participated in work-based learning allowing the student to </w:t>
            </w:r>
            <w:r w:rsidRPr="00BF5473">
              <w:rPr>
                <w:rFonts w:asciiTheme="majorHAnsi" w:hAnsiTheme="majorHAnsi"/>
                <w:b/>
                <w:sz w:val="18"/>
                <w:szCs w:val="18"/>
              </w:rPr>
              <w:t xml:space="preserve">apply learning through practical experience and interaction </w:t>
            </w:r>
            <w:r w:rsidRPr="00BF5473">
              <w:rPr>
                <w:rFonts w:asciiTheme="majorHAnsi" w:hAnsiTheme="majorHAnsi"/>
                <w:sz w:val="18"/>
                <w:szCs w:val="18"/>
              </w:rPr>
              <w:t xml:space="preserve">with professionals from </w:t>
            </w:r>
            <w:r w:rsidRPr="00BF5473">
              <w:rPr>
                <w:rFonts w:asciiTheme="majorHAnsi" w:hAnsiTheme="majorHAnsi"/>
                <w:b/>
                <w:sz w:val="18"/>
                <w:szCs w:val="18"/>
              </w:rPr>
              <w:t>industry and the community</w:t>
            </w:r>
            <w:r w:rsidRPr="00BF5473">
              <w:rPr>
                <w:rFonts w:asciiTheme="majorHAnsi" w:hAnsiTheme="majorHAnsi"/>
                <w:sz w:val="18"/>
                <w:szCs w:val="18"/>
              </w:rPr>
              <w:t xml:space="preserve"> outside of school, such as:</w:t>
            </w:r>
          </w:p>
          <w:p w14:paraId="01C938DD" w14:textId="77777777" w:rsidR="00567E01" w:rsidRPr="00BF5473" w:rsidRDefault="00567E01" w:rsidP="00852E4A">
            <w:pPr>
              <w:pStyle w:val="ListParagraph"/>
              <w:numPr>
                <w:ilvl w:val="0"/>
                <w:numId w:val="3"/>
              </w:numPr>
              <w:rPr>
                <w:rFonts w:asciiTheme="majorHAnsi" w:hAnsiTheme="majorHAnsi"/>
                <w:sz w:val="18"/>
                <w:szCs w:val="18"/>
              </w:rPr>
            </w:pPr>
            <w:r w:rsidRPr="00BF5473">
              <w:rPr>
                <w:rFonts w:asciiTheme="majorHAnsi" w:hAnsiTheme="majorHAnsi"/>
                <w:sz w:val="18"/>
                <w:szCs w:val="18"/>
              </w:rPr>
              <w:t xml:space="preserve">job shadows </w:t>
            </w:r>
          </w:p>
          <w:p w14:paraId="1F9717C8" w14:textId="77777777" w:rsidR="00567E01" w:rsidRPr="00BF5473" w:rsidRDefault="00567E01" w:rsidP="00852E4A">
            <w:pPr>
              <w:pStyle w:val="ListParagraph"/>
              <w:numPr>
                <w:ilvl w:val="0"/>
                <w:numId w:val="3"/>
              </w:numPr>
              <w:rPr>
                <w:rFonts w:asciiTheme="majorHAnsi" w:hAnsiTheme="majorHAnsi"/>
                <w:sz w:val="18"/>
                <w:szCs w:val="18"/>
              </w:rPr>
            </w:pPr>
            <w:r w:rsidRPr="00BF5473">
              <w:rPr>
                <w:rFonts w:asciiTheme="majorHAnsi" w:hAnsiTheme="majorHAnsi"/>
                <w:sz w:val="18"/>
                <w:szCs w:val="18"/>
              </w:rPr>
              <w:t xml:space="preserve">service learning </w:t>
            </w:r>
          </w:p>
          <w:p w14:paraId="02780E8E" w14:textId="77777777" w:rsidR="00567E01" w:rsidRPr="00BF5473" w:rsidRDefault="00567E01" w:rsidP="00852E4A">
            <w:pPr>
              <w:pStyle w:val="ListParagraph"/>
              <w:numPr>
                <w:ilvl w:val="0"/>
                <w:numId w:val="3"/>
              </w:numPr>
              <w:rPr>
                <w:rFonts w:asciiTheme="majorHAnsi" w:hAnsiTheme="majorHAnsi"/>
                <w:sz w:val="18"/>
                <w:szCs w:val="18"/>
              </w:rPr>
            </w:pPr>
            <w:r w:rsidRPr="00BF5473">
              <w:rPr>
                <w:rFonts w:asciiTheme="majorHAnsi" w:hAnsiTheme="majorHAnsi"/>
                <w:sz w:val="18"/>
                <w:szCs w:val="18"/>
              </w:rPr>
              <w:t xml:space="preserve">class projects or challenges </w:t>
            </w:r>
          </w:p>
          <w:p w14:paraId="52D31F39" w14:textId="77777777" w:rsidR="00567E01" w:rsidRPr="00BF5473" w:rsidRDefault="00567E01" w:rsidP="00852E4A">
            <w:pPr>
              <w:pStyle w:val="ListParagraph"/>
              <w:numPr>
                <w:ilvl w:val="0"/>
                <w:numId w:val="3"/>
              </w:numPr>
              <w:rPr>
                <w:rFonts w:asciiTheme="majorHAnsi" w:hAnsiTheme="majorHAnsi"/>
                <w:sz w:val="18"/>
                <w:szCs w:val="18"/>
              </w:rPr>
            </w:pPr>
            <w:r w:rsidRPr="00BF5473">
              <w:rPr>
                <w:rFonts w:asciiTheme="majorHAnsi" w:hAnsiTheme="majorHAnsi"/>
                <w:sz w:val="18"/>
                <w:szCs w:val="18"/>
              </w:rPr>
              <w:t xml:space="preserve">mentorships </w:t>
            </w:r>
          </w:p>
          <w:p w14:paraId="0846922C" w14:textId="77777777" w:rsidR="00567E01" w:rsidRPr="00BF5473" w:rsidRDefault="00567E01" w:rsidP="00962134">
            <w:pPr>
              <w:rPr>
                <w:rFonts w:asciiTheme="majorHAnsi" w:eastAsia="Times New Roman" w:hAnsiTheme="majorHAnsi" w:cstheme="majorHAnsi"/>
                <w:b/>
                <w:sz w:val="18"/>
                <w:szCs w:val="18"/>
              </w:rPr>
            </w:pPr>
          </w:p>
        </w:tc>
        <w:tc>
          <w:tcPr>
            <w:tcW w:w="2520" w:type="dxa"/>
          </w:tcPr>
          <w:p w14:paraId="026753C0" w14:textId="77777777" w:rsidR="00567E01" w:rsidRPr="00BF5473" w:rsidRDefault="00567E01" w:rsidP="00454FD0">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Job shadowing (individual)</w:t>
            </w:r>
          </w:p>
          <w:p w14:paraId="5E150C21" w14:textId="14788F5C" w:rsidR="00567E01" w:rsidRPr="00BF5473" w:rsidRDefault="00567E01" w:rsidP="00852E4A">
            <w:pPr>
              <w:rPr>
                <w:rFonts w:asciiTheme="majorHAnsi" w:eastAsia="Times New Roman" w:hAnsiTheme="majorHAnsi" w:cstheme="majorHAnsi"/>
                <w:b/>
                <w:sz w:val="18"/>
                <w:szCs w:val="18"/>
              </w:rPr>
            </w:pPr>
          </w:p>
        </w:tc>
        <w:tc>
          <w:tcPr>
            <w:tcW w:w="9900" w:type="dxa"/>
          </w:tcPr>
          <w:p w14:paraId="687F4918" w14:textId="6F080DF8" w:rsidR="00567E01" w:rsidRPr="00BF5473" w:rsidRDefault="00567E01"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Opportunities for students to spend time with a worker on the job, observing actual workplace tasks in order to explore a potential career interest. (ERIC Thesaurus) Job shadows may involve applied learning if there is sufficient time and advance preparation with the employer and instructor.</w:t>
            </w:r>
          </w:p>
        </w:tc>
      </w:tr>
      <w:tr w:rsidR="00FA1918" w:rsidRPr="00BF5473" w14:paraId="40B5C83D" w14:textId="77777777" w:rsidTr="00635657">
        <w:tc>
          <w:tcPr>
            <w:tcW w:w="2185" w:type="dxa"/>
            <w:vMerge/>
          </w:tcPr>
          <w:p w14:paraId="5ECA8309" w14:textId="77777777" w:rsidR="00FA1918" w:rsidRPr="00BF5473" w:rsidRDefault="00FA1918" w:rsidP="00852E4A">
            <w:pPr>
              <w:rPr>
                <w:rFonts w:asciiTheme="majorHAnsi" w:eastAsia="Times New Roman" w:hAnsiTheme="majorHAnsi" w:cstheme="majorHAnsi"/>
                <w:b/>
                <w:sz w:val="18"/>
                <w:szCs w:val="18"/>
              </w:rPr>
            </w:pPr>
          </w:p>
        </w:tc>
        <w:tc>
          <w:tcPr>
            <w:tcW w:w="2520" w:type="dxa"/>
          </w:tcPr>
          <w:p w14:paraId="4328B7AA" w14:textId="77777777" w:rsidR="00FA1918" w:rsidRPr="00BF5473" w:rsidRDefault="00FA1918" w:rsidP="00454FD0">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Mentorships with industry professionals</w:t>
            </w:r>
          </w:p>
          <w:p w14:paraId="1A11D580" w14:textId="77777777" w:rsidR="00FA1918" w:rsidRPr="00BF5473" w:rsidRDefault="00FA1918" w:rsidP="00852E4A">
            <w:pPr>
              <w:rPr>
                <w:rFonts w:asciiTheme="majorHAnsi" w:eastAsia="Times New Roman" w:hAnsiTheme="majorHAnsi" w:cstheme="majorHAnsi"/>
                <w:b/>
                <w:sz w:val="18"/>
                <w:szCs w:val="18"/>
              </w:rPr>
            </w:pPr>
          </w:p>
        </w:tc>
        <w:tc>
          <w:tcPr>
            <w:tcW w:w="9900" w:type="dxa"/>
          </w:tcPr>
          <w:p w14:paraId="39385230" w14:textId="0C1AD6B1" w:rsidR="00FA1918" w:rsidRPr="00BF5473" w:rsidRDefault="00FA1918"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One-to-one relationships between students and more experienced professionals in chosen fields of interest to explore career and related issues. Career mentors foster the student’s development by providing challenges, encouragement, guidance, and resources. (U.S. Congress, Office of Technology Assessment)</w:t>
            </w:r>
          </w:p>
        </w:tc>
      </w:tr>
      <w:tr w:rsidR="00FA1918" w:rsidRPr="00BF5473" w14:paraId="400C8982" w14:textId="77777777" w:rsidTr="00635657">
        <w:tc>
          <w:tcPr>
            <w:tcW w:w="2185" w:type="dxa"/>
            <w:vMerge/>
          </w:tcPr>
          <w:p w14:paraId="2B58BC6E" w14:textId="77777777" w:rsidR="00FA1918" w:rsidRPr="00BF5473" w:rsidRDefault="00FA1918" w:rsidP="00852E4A">
            <w:pPr>
              <w:rPr>
                <w:rFonts w:asciiTheme="majorHAnsi" w:eastAsia="Times New Roman" w:hAnsiTheme="majorHAnsi" w:cstheme="majorHAnsi"/>
                <w:b/>
                <w:sz w:val="18"/>
                <w:szCs w:val="18"/>
              </w:rPr>
            </w:pPr>
          </w:p>
        </w:tc>
        <w:tc>
          <w:tcPr>
            <w:tcW w:w="2520" w:type="dxa"/>
          </w:tcPr>
          <w:p w14:paraId="6B3AD575" w14:textId="77777777" w:rsidR="00FA1918" w:rsidRPr="00BF5473" w:rsidRDefault="00FA1918" w:rsidP="00454FD0">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Service learning</w:t>
            </w:r>
          </w:p>
          <w:p w14:paraId="06418ABA" w14:textId="77777777" w:rsidR="00FA1918" w:rsidRPr="00BF5473" w:rsidRDefault="00FA1918" w:rsidP="00852E4A">
            <w:pPr>
              <w:rPr>
                <w:rFonts w:asciiTheme="majorHAnsi" w:eastAsia="Times New Roman" w:hAnsiTheme="majorHAnsi" w:cstheme="majorHAnsi"/>
                <w:b/>
                <w:sz w:val="18"/>
                <w:szCs w:val="18"/>
              </w:rPr>
            </w:pPr>
          </w:p>
        </w:tc>
        <w:tc>
          <w:tcPr>
            <w:tcW w:w="9900" w:type="dxa"/>
          </w:tcPr>
          <w:p w14:paraId="1B73AEFB" w14:textId="4B1BCC1C" w:rsidR="00FA1918" w:rsidRPr="00BF5473" w:rsidRDefault="00FA1918" w:rsidP="00635657">
            <w:pPr>
              <w:pStyle w:val="FootnoteText"/>
              <w:spacing w:after="60"/>
              <w:rPr>
                <w:rFonts w:asciiTheme="majorHAnsi" w:hAnsiTheme="majorHAnsi" w:cstheme="majorHAnsi"/>
                <w:sz w:val="18"/>
                <w:szCs w:val="18"/>
              </w:rPr>
            </w:pPr>
            <w:r w:rsidRPr="00BF5473">
              <w:rPr>
                <w:rFonts w:asciiTheme="majorHAnsi" w:hAnsiTheme="majorHAnsi" w:cstheme="majorHAnsi"/>
                <w:bCs/>
                <w:sz w:val="18"/>
                <w:szCs w:val="18"/>
              </w:rPr>
              <w:t>A</w:t>
            </w:r>
            <w:r w:rsidRPr="00BF5473">
              <w:rPr>
                <w:rFonts w:asciiTheme="majorHAnsi" w:hAnsiTheme="majorHAnsi" w:cstheme="majorHAnsi"/>
                <w:sz w:val="18"/>
                <w:szCs w:val="18"/>
              </w:rPr>
              <w:t xml:space="preserve"> </w:t>
            </w:r>
            <w:r w:rsidRPr="00BF5473">
              <w:rPr>
                <w:rFonts w:asciiTheme="majorHAnsi" w:hAnsiTheme="majorHAnsi" w:cstheme="majorHAnsi"/>
                <w:sz w:val="18"/>
                <w:szCs w:val="18"/>
                <w:shd w:val="clear" w:color="auto" w:fill="FFFFFF"/>
              </w:rPr>
              <w:t>teaching and learning strategy that integrates meaningful community service with instruction and reflection to enrich the learning experience, teach civic responsibility, and strengthen communities. (Learn and Serve America National Service Learning Clearinghouse and Mesa College)</w:t>
            </w:r>
          </w:p>
        </w:tc>
      </w:tr>
      <w:tr w:rsidR="00FA1918" w:rsidRPr="00BF5473" w14:paraId="723C35B1" w14:textId="77777777" w:rsidTr="00635657">
        <w:trPr>
          <w:trHeight w:val="494"/>
        </w:trPr>
        <w:tc>
          <w:tcPr>
            <w:tcW w:w="2185" w:type="dxa"/>
            <w:vMerge/>
          </w:tcPr>
          <w:p w14:paraId="3C040E27" w14:textId="77777777" w:rsidR="00FA1918" w:rsidRPr="00BF5473" w:rsidRDefault="00FA1918" w:rsidP="00852E4A">
            <w:pPr>
              <w:rPr>
                <w:rFonts w:asciiTheme="majorHAnsi" w:eastAsia="Times New Roman" w:hAnsiTheme="majorHAnsi" w:cstheme="majorHAnsi"/>
                <w:b/>
                <w:sz w:val="18"/>
                <w:szCs w:val="18"/>
              </w:rPr>
            </w:pPr>
          </w:p>
        </w:tc>
        <w:tc>
          <w:tcPr>
            <w:tcW w:w="2520" w:type="dxa"/>
          </w:tcPr>
          <w:p w14:paraId="49C3B3F2" w14:textId="77777777" w:rsidR="00FA1918" w:rsidRPr="00BF5473" w:rsidRDefault="00FA1918" w:rsidP="00454FD0">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Volunteering/</w:t>
            </w:r>
          </w:p>
          <w:p w14:paraId="029FC46A" w14:textId="572DA8B3" w:rsidR="00FA1918" w:rsidRPr="00BF5473" w:rsidRDefault="00FA1918" w:rsidP="00852E4A">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community service</w:t>
            </w:r>
          </w:p>
        </w:tc>
        <w:tc>
          <w:tcPr>
            <w:tcW w:w="9900" w:type="dxa"/>
          </w:tcPr>
          <w:p w14:paraId="463ECC9B" w14:textId="39574F33" w:rsidR="00FA1918" w:rsidRPr="00BF5473" w:rsidRDefault="00FA1918"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 xml:space="preserve">Voluntary service activities that may or may not be connected to classroom curriculum, but which offer opportunities for exploring careers and learning by doing real work. </w:t>
            </w:r>
          </w:p>
        </w:tc>
      </w:tr>
      <w:tr w:rsidR="00FA1918" w:rsidRPr="00BF5473" w14:paraId="0FDFC12C" w14:textId="77777777" w:rsidTr="00635657">
        <w:tc>
          <w:tcPr>
            <w:tcW w:w="2185" w:type="dxa"/>
            <w:vMerge/>
          </w:tcPr>
          <w:p w14:paraId="0AE4C0EA" w14:textId="77777777" w:rsidR="00FA1918" w:rsidRPr="00BF5473" w:rsidRDefault="00FA1918" w:rsidP="00852E4A">
            <w:pPr>
              <w:rPr>
                <w:rFonts w:asciiTheme="majorHAnsi" w:eastAsia="Times New Roman" w:hAnsiTheme="majorHAnsi" w:cstheme="majorHAnsi"/>
                <w:b/>
                <w:sz w:val="18"/>
                <w:szCs w:val="18"/>
              </w:rPr>
            </w:pPr>
          </w:p>
        </w:tc>
        <w:tc>
          <w:tcPr>
            <w:tcW w:w="2520" w:type="dxa"/>
          </w:tcPr>
          <w:p w14:paraId="65862B5F" w14:textId="77777777" w:rsidR="00FA1918" w:rsidRPr="00BF5473" w:rsidRDefault="00FA1918" w:rsidP="00454FD0">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Simulated workplace experience</w:t>
            </w:r>
          </w:p>
          <w:p w14:paraId="04C97CFF" w14:textId="77777777" w:rsidR="00FA1918" w:rsidRPr="00BF5473" w:rsidRDefault="00FA1918" w:rsidP="00852E4A">
            <w:pPr>
              <w:rPr>
                <w:rFonts w:asciiTheme="majorHAnsi" w:eastAsia="Times New Roman" w:hAnsiTheme="majorHAnsi" w:cstheme="majorHAnsi"/>
                <w:b/>
                <w:sz w:val="18"/>
                <w:szCs w:val="18"/>
              </w:rPr>
            </w:pPr>
          </w:p>
        </w:tc>
        <w:tc>
          <w:tcPr>
            <w:tcW w:w="9900" w:type="dxa"/>
          </w:tcPr>
          <w:p w14:paraId="40CCE7A7" w14:textId="673ABF2A" w:rsidR="00FA1918" w:rsidRPr="00BF5473" w:rsidRDefault="00FA1918"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Work-based learning activities that simulate work environments. Examples include automotive or culinary programs in which sustained industry involvement allows student to develop and apply their skills in the context of industry standards and expectations. Simulated experiences may be valuable when experiences in real work settings are not possible, due to logistical or other constraints.</w:t>
            </w:r>
            <w:r w:rsidRPr="00BF5473">
              <w:rPr>
                <w:rFonts w:asciiTheme="majorHAnsi" w:hAnsiTheme="majorHAnsi"/>
                <w:sz w:val="18"/>
                <w:szCs w:val="18"/>
              </w:rPr>
              <w:t xml:space="preserve"> </w:t>
            </w:r>
            <w:r w:rsidRPr="00BF5473">
              <w:rPr>
                <w:rFonts w:asciiTheme="majorHAnsi" w:hAnsiTheme="majorHAnsi" w:cstheme="majorHAnsi"/>
                <w:sz w:val="18"/>
                <w:szCs w:val="18"/>
              </w:rPr>
              <w:t>(WestEd, Work-Based Learning in California)</w:t>
            </w:r>
          </w:p>
        </w:tc>
      </w:tr>
      <w:tr w:rsidR="00FA1918" w:rsidRPr="00BF5473" w14:paraId="6F76A90E" w14:textId="77777777" w:rsidTr="00635657">
        <w:tc>
          <w:tcPr>
            <w:tcW w:w="2185" w:type="dxa"/>
            <w:vMerge/>
          </w:tcPr>
          <w:p w14:paraId="16025DC0" w14:textId="77777777" w:rsidR="00FA1918" w:rsidRPr="00BF5473" w:rsidRDefault="00FA1918" w:rsidP="00852E4A">
            <w:pPr>
              <w:rPr>
                <w:rFonts w:asciiTheme="majorHAnsi" w:eastAsia="Times New Roman" w:hAnsiTheme="majorHAnsi" w:cstheme="majorHAnsi"/>
                <w:b/>
                <w:sz w:val="18"/>
                <w:szCs w:val="18"/>
              </w:rPr>
            </w:pPr>
          </w:p>
        </w:tc>
        <w:tc>
          <w:tcPr>
            <w:tcW w:w="2520" w:type="dxa"/>
          </w:tcPr>
          <w:p w14:paraId="02C0545B" w14:textId="77777777" w:rsidR="00FA1918" w:rsidRPr="00BF5473" w:rsidRDefault="00FA1918" w:rsidP="00454FD0">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Student-run commercial or social enterprises</w:t>
            </w:r>
          </w:p>
          <w:p w14:paraId="73D33B08" w14:textId="77777777" w:rsidR="00FA1918" w:rsidRPr="00BF5473" w:rsidRDefault="00FA1918" w:rsidP="00852E4A">
            <w:pPr>
              <w:rPr>
                <w:rFonts w:asciiTheme="majorHAnsi" w:eastAsia="Times New Roman" w:hAnsiTheme="majorHAnsi" w:cstheme="majorHAnsi"/>
                <w:b/>
                <w:sz w:val="18"/>
                <w:szCs w:val="18"/>
              </w:rPr>
            </w:pPr>
          </w:p>
        </w:tc>
        <w:tc>
          <w:tcPr>
            <w:tcW w:w="9900" w:type="dxa"/>
          </w:tcPr>
          <w:p w14:paraId="2770D584" w14:textId="77777777" w:rsidR="00FA1918" w:rsidRPr="00BF5473" w:rsidRDefault="00FA1918" w:rsidP="00635657">
            <w:pPr>
              <w:spacing w:after="60"/>
              <w:rPr>
                <w:rFonts w:asciiTheme="majorHAnsi" w:hAnsiTheme="majorHAnsi" w:cstheme="majorHAnsi"/>
                <w:sz w:val="18"/>
                <w:szCs w:val="18"/>
              </w:rPr>
            </w:pPr>
            <w:r w:rsidRPr="00BF5473">
              <w:rPr>
                <w:rFonts w:asciiTheme="majorHAnsi" w:hAnsiTheme="majorHAnsi" w:cstheme="majorHAnsi"/>
                <w:sz w:val="18"/>
                <w:szCs w:val="18"/>
              </w:rPr>
              <w:t xml:space="preserve">Enterprises that produce goods or services for sale or use to people other than the students involved. Examples include student run cafes or video production studios that serve clients and generate revenue. </w:t>
            </w:r>
          </w:p>
          <w:p w14:paraId="098C8929" w14:textId="2EBBF41C" w:rsidR="00FA1918" w:rsidRPr="00BF5473" w:rsidRDefault="00FA1918"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Social enterprises focus on social rather than commercial activity. Examples include community planning projects or energy auditing for local residents. Social enterprises differ from traditional service learning in that students may offer their service as a team, much like a consulting firm, in contrast to participating individually in existing activities offered by non-profit organizations or community initiatives. As “social entrepreneurs,” students diagnose problems and propose solutions, and thereby build research and project management skills, as well as content knowledge. Social enterprises may also be called “community-based projects.” (Stern and McCoy, Social Enterprises for Learning)</w:t>
            </w:r>
          </w:p>
        </w:tc>
      </w:tr>
      <w:tr w:rsidR="00FA1918" w:rsidRPr="00BF5473" w14:paraId="036C139B" w14:textId="77777777" w:rsidTr="00635657">
        <w:tc>
          <w:tcPr>
            <w:tcW w:w="2185" w:type="dxa"/>
            <w:vMerge/>
          </w:tcPr>
          <w:p w14:paraId="36408302" w14:textId="77777777" w:rsidR="00FA1918" w:rsidRPr="00BF5473" w:rsidRDefault="00FA1918" w:rsidP="00852E4A">
            <w:pPr>
              <w:rPr>
                <w:rFonts w:asciiTheme="majorHAnsi" w:eastAsia="Times New Roman" w:hAnsiTheme="majorHAnsi" w:cstheme="majorHAnsi"/>
                <w:b/>
                <w:sz w:val="18"/>
                <w:szCs w:val="18"/>
              </w:rPr>
            </w:pPr>
          </w:p>
        </w:tc>
        <w:tc>
          <w:tcPr>
            <w:tcW w:w="2520" w:type="dxa"/>
          </w:tcPr>
          <w:p w14:paraId="7B90A7C4" w14:textId="4E2CDE09" w:rsidR="00FA1918" w:rsidRPr="00BF5473" w:rsidRDefault="00FA1918" w:rsidP="00454FD0">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 xml:space="preserve">Classroom projects </w:t>
            </w:r>
            <w:r w:rsidRPr="00BF5473">
              <w:rPr>
                <w:rFonts w:asciiTheme="majorHAnsi" w:eastAsia="Times New Roman" w:hAnsiTheme="majorHAnsi" w:cstheme="majorHAnsi"/>
                <w:b/>
                <w:sz w:val="18"/>
                <w:szCs w:val="18"/>
                <w:highlight w:val="yellow"/>
              </w:rPr>
              <w:t>or challenges</w:t>
            </w:r>
            <w:r w:rsidRPr="00BF5473">
              <w:rPr>
                <w:rFonts w:asciiTheme="majorHAnsi" w:eastAsia="Times New Roman" w:hAnsiTheme="majorHAnsi" w:cstheme="majorHAnsi"/>
                <w:b/>
                <w:sz w:val="18"/>
                <w:szCs w:val="18"/>
              </w:rPr>
              <w:t xml:space="preserve"> with industry involvement</w:t>
            </w:r>
          </w:p>
          <w:p w14:paraId="63EEC68E" w14:textId="77777777" w:rsidR="00FA1918" w:rsidRPr="00BF5473" w:rsidRDefault="00FA1918" w:rsidP="00852E4A">
            <w:pPr>
              <w:rPr>
                <w:rFonts w:asciiTheme="majorHAnsi" w:eastAsia="Times New Roman" w:hAnsiTheme="majorHAnsi" w:cstheme="majorHAnsi"/>
                <w:b/>
                <w:sz w:val="18"/>
                <w:szCs w:val="18"/>
              </w:rPr>
            </w:pPr>
          </w:p>
        </w:tc>
        <w:tc>
          <w:tcPr>
            <w:tcW w:w="9900" w:type="dxa"/>
          </w:tcPr>
          <w:p w14:paraId="5A4425D4" w14:textId="79BAC7B8" w:rsidR="00FA1918" w:rsidRPr="00BF5473" w:rsidRDefault="00FA1918" w:rsidP="00635657">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rPr>
              <w:t xml:space="preserve">Substantial classroom projects </w:t>
            </w:r>
            <w:r w:rsidR="003B7749" w:rsidRPr="00BF5473">
              <w:rPr>
                <w:rFonts w:asciiTheme="majorHAnsi" w:hAnsiTheme="majorHAnsi" w:cstheme="majorHAnsi"/>
                <w:sz w:val="18"/>
                <w:szCs w:val="18"/>
                <w:highlight w:val="yellow"/>
              </w:rPr>
              <w:t>or challenges</w:t>
            </w:r>
            <w:r w:rsidR="003B7749" w:rsidRPr="00BF5473">
              <w:rPr>
                <w:rFonts w:asciiTheme="majorHAnsi" w:hAnsiTheme="majorHAnsi" w:cstheme="majorHAnsi"/>
                <w:sz w:val="18"/>
                <w:szCs w:val="18"/>
              </w:rPr>
              <w:t xml:space="preserve"> </w:t>
            </w:r>
            <w:r w:rsidRPr="00BF5473">
              <w:rPr>
                <w:rFonts w:asciiTheme="majorHAnsi" w:hAnsiTheme="majorHAnsi" w:cstheme="majorHAnsi"/>
                <w:sz w:val="18"/>
                <w:szCs w:val="18"/>
              </w:rPr>
              <w:t>in which industry representatives provide guidance in design and implementation as well as assessment</w:t>
            </w:r>
            <w:r w:rsidR="00C60350" w:rsidRPr="00BF5473">
              <w:rPr>
                <w:rFonts w:asciiTheme="majorHAnsi" w:hAnsiTheme="majorHAnsi" w:cstheme="majorHAnsi"/>
                <w:sz w:val="18"/>
                <w:szCs w:val="18"/>
              </w:rPr>
              <w:t xml:space="preserve"> or feedback</w:t>
            </w:r>
            <w:r w:rsidRPr="00BF5473">
              <w:rPr>
                <w:rFonts w:asciiTheme="majorHAnsi" w:hAnsiTheme="majorHAnsi" w:cstheme="majorHAnsi"/>
                <w:sz w:val="18"/>
                <w:szCs w:val="18"/>
              </w:rPr>
              <w:t>. Examples include robotics projects supported by local engineers or construction projects supported by local union representatives. Industry-informed projects can be useful when logistics or other constraints make workplace placements difficult.</w:t>
            </w:r>
            <w:r w:rsidR="003B7749" w:rsidRPr="00BF5473">
              <w:rPr>
                <w:rFonts w:asciiTheme="majorHAnsi" w:hAnsiTheme="majorHAnsi" w:cstheme="majorHAnsi"/>
                <w:sz w:val="18"/>
                <w:szCs w:val="18"/>
              </w:rPr>
              <w:t xml:space="preserve"> </w:t>
            </w:r>
            <w:r w:rsidR="00C60350" w:rsidRPr="00BF5473">
              <w:rPr>
                <w:rFonts w:asciiTheme="majorHAnsi" w:hAnsiTheme="majorHAnsi" w:cstheme="majorHAnsi"/>
                <w:sz w:val="18"/>
                <w:szCs w:val="18"/>
              </w:rPr>
              <w:t>Classroom challenges, sometimes use for formative assessment purposes, may include problems to solve or student competitions juried by employers.</w:t>
            </w:r>
            <w:r w:rsidR="00C60350" w:rsidRPr="00BF5473">
              <w:rPr>
                <w:rFonts w:asciiTheme="majorHAnsi" w:hAnsiTheme="majorHAnsi" w:cstheme="majorHAnsi"/>
                <w:i/>
                <w:sz w:val="18"/>
                <w:szCs w:val="18"/>
              </w:rPr>
              <w:t xml:space="preserve"> </w:t>
            </w:r>
          </w:p>
        </w:tc>
      </w:tr>
      <w:tr w:rsidR="00567E01" w:rsidRPr="00BF5473" w14:paraId="7E965BE3" w14:textId="77777777" w:rsidTr="00BF5473">
        <w:trPr>
          <w:trHeight w:val="890"/>
        </w:trPr>
        <w:tc>
          <w:tcPr>
            <w:tcW w:w="2185" w:type="dxa"/>
            <w:vMerge w:val="restart"/>
          </w:tcPr>
          <w:p w14:paraId="3C014F03" w14:textId="77777777" w:rsidR="00567E01" w:rsidRPr="00BF5473" w:rsidRDefault="00567E01" w:rsidP="00567E01">
            <w:pPr>
              <w:jc w:val="center"/>
              <w:rPr>
                <w:rFonts w:asciiTheme="majorHAnsi" w:hAnsiTheme="majorHAnsi"/>
                <w:b/>
                <w:sz w:val="18"/>
                <w:szCs w:val="18"/>
              </w:rPr>
            </w:pPr>
            <w:r w:rsidRPr="00BF5473">
              <w:rPr>
                <w:rFonts w:asciiTheme="majorHAnsi" w:hAnsiTheme="majorHAnsi"/>
                <w:b/>
                <w:sz w:val="18"/>
                <w:szCs w:val="18"/>
              </w:rPr>
              <w:lastRenderedPageBreak/>
              <w:t>C</w:t>
            </w:r>
          </w:p>
          <w:p w14:paraId="194103C1" w14:textId="77777777" w:rsidR="00567E01" w:rsidRPr="00BF5473" w:rsidRDefault="00567E01" w:rsidP="00567E01">
            <w:pPr>
              <w:rPr>
                <w:rFonts w:asciiTheme="majorHAnsi" w:hAnsiTheme="majorHAnsi"/>
                <w:sz w:val="18"/>
                <w:szCs w:val="18"/>
              </w:rPr>
            </w:pPr>
            <w:r w:rsidRPr="00BF5473">
              <w:rPr>
                <w:rFonts w:asciiTheme="majorHAnsi" w:hAnsiTheme="majorHAnsi"/>
                <w:sz w:val="18"/>
                <w:szCs w:val="18"/>
              </w:rPr>
              <w:t xml:space="preserve">Student participated in work-based learning allowing the student to </w:t>
            </w:r>
            <w:r w:rsidRPr="00BF5473">
              <w:rPr>
                <w:rFonts w:asciiTheme="majorHAnsi" w:hAnsiTheme="majorHAnsi"/>
                <w:b/>
                <w:sz w:val="18"/>
                <w:szCs w:val="18"/>
              </w:rPr>
              <w:t>build awareness of the variety of careers</w:t>
            </w:r>
            <w:r w:rsidRPr="00BF5473">
              <w:rPr>
                <w:rFonts w:asciiTheme="majorHAnsi" w:hAnsiTheme="majorHAnsi"/>
                <w:sz w:val="18"/>
                <w:szCs w:val="18"/>
              </w:rPr>
              <w:t xml:space="preserve"> available, begin </w:t>
            </w:r>
            <w:r w:rsidRPr="00BF5473">
              <w:rPr>
                <w:rFonts w:asciiTheme="majorHAnsi" w:hAnsiTheme="majorHAnsi"/>
                <w:b/>
                <w:sz w:val="18"/>
                <w:szCs w:val="18"/>
              </w:rPr>
              <w:t>identifying areas of interest</w:t>
            </w:r>
            <w:r w:rsidRPr="00BF5473">
              <w:rPr>
                <w:rFonts w:asciiTheme="majorHAnsi" w:hAnsiTheme="majorHAnsi"/>
                <w:sz w:val="18"/>
                <w:szCs w:val="18"/>
              </w:rPr>
              <w:t xml:space="preserve">, and </w:t>
            </w:r>
            <w:r w:rsidRPr="00BF5473">
              <w:rPr>
                <w:rFonts w:asciiTheme="majorHAnsi" w:hAnsiTheme="majorHAnsi"/>
                <w:b/>
                <w:sz w:val="18"/>
                <w:szCs w:val="18"/>
              </w:rPr>
              <w:t>explore career options</w:t>
            </w:r>
            <w:r w:rsidRPr="00BF5473">
              <w:rPr>
                <w:rFonts w:asciiTheme="majorHAnsi" w:hAnsiTheme="majorHAnsi"/>
                <w:sz w:val="18"/>
                <w:szCs w:val="18"/>
              </w:rPr>
              <w:t>, such as:</w:t>
            </w:r>
          </w:p>
          <w:p w14:paraId="6E39B889" w14:textId="77777777" w:rsidR="00567E01" w:rsidRPr="00BF5473" w:rsidRDefault="00567E01" w:rsidP="00567E01">
            <w:pPr>
              <w:pStyle w:val="ListParagraph"/>
              <w:numPr>
                <w:ilvl w:val="0"/>
                <w:numId w:val="4"/>
              </w:numPr>
              <w:rPr>
                <w:rFonts w:asciiTheme="majorHAnsi" w:hAnsiTheme="majorHAnsi"/>
                <w:sz w:val="18"/>
                <w:szCs w:val="18"/>
              </w:rPr>
            </w:pPr>
            <w:r w:rsidRPr="00BF5473">
              <w:rPr>
                <w:rFonts w:asciiTheme="majorHAnsi" w:hAnsiTheme="majorHAnsi"/>
                <w:sz w:val="18"/>
                <w:szCs w:val="18"/>
              </w:rPr>
              <w:t xml:space="preserve">guest speakers </w:t>
            </w:r>
          </w:p>
          <w:p w14:paraId="37694D2A" w14:textId="77777777" w:rsidR="00567E01" w:rsidRPr="00BF5473" w:rsidRDefault="00567E01" w:rsidP="00567E01">
            <w:pPr>
              <w:pStyle w:val="ListParagraph"/>
              <w:numPr>
                <w:ilvl w:val="0"/>
                <w:numId w:val="4"/>
              </w:numPr>
              <w:rPr>
                <w:rFonts w:asciiTheme="majorHAnsi" w:hAnsiTheme="majorHAnsi"/>
                <w:sz w:val="18"/>
                <w:szCs w:val="18"/>
              </w:rPr>
            </w:pPr>
            <w:r w:rsidRPr="00BF5473">
              <w:rPr>
                <w:rFonts w:asciiTheme="majorHAnsi" w:hAnsiTheme="majorHAnsi"/>
                <w:sz w:val="18"/>
                <w:szCs w:val="18"/>
              </w:rPr>
              <w:t xml:space="preserve">company tours </w:t>
            </w:r>
          </w:p>
          <w:p w14:paraId="5DC22597" w14:textId="77777777" w:rsidR="00567E01" w:rsidRPr="00BF5473" w:rsidRDefault="00567E01" w:rsidP="00567E01">
            <w:pPr>
              <w:pStyle w:val="ListParagraph"/>
              <w:numPr>
                <w:ilvl w:val="0"/>
                <w:numId w:val="4"/>
              </w:numPr>
              <w:rPr>
                <w:rFonts w:asciiTheme="majorHAnsi" w:hAnsiTheme="majorHAnsi"/>
                <w:sz w:val="18"/>
                <w:szCs w:val="18"/>
              </w:rPr>
            </w:pPr>
            <w:r w:rsidRPr="00BF5473">
              <w:rPr>
                <w:rFonts w:asciiTheme="majorHAnsi" w:hAnsiTheme="majorHAnsi"/>
                <w:sz w:val="18"/>
                <w:szCs w:val="18"/>
              </w:rPr>
              <w:t xml:space="preserve">field trips </w:t>
            </w:r>
          </w:p>
          <w:p w14:paraId="7C28E9D1" w14:textId="77777777" w:rsidR="00567E01" w:rsidRPr="00BF5473" w:rsidRDefault="00567E01" w:rsidP="00567E01">
            <w:pPr>
              <w:pStyle w:val="ListParagraph"/>
              <w:numPr>
                <w:ilvl w:val="0"/>
                <w:numId w:val="4"/>
              </w:numPr>
              <w:rPr>
                <w:rFonts w:asciiTheme="majorHAnsi" w:hAnsiTheme="majorHAnsi"/>
                <w:sz w:val="18"/>
                <w:szCs w:val="18"/>
              </w:rPr>
            </w:pPr>
            <w:r w:rsidRPr="00BF5473">
              <w:rPr>
                <w:rFonts w:asciiTheme="majorHAnsi" w:hAnsiTheme="majorHAnsi"/>
                <w:sz w:val="18"/>
                <w:szCs w:val="18"/>
              </w:rPr>
              <w:t xml:space="preserve">career fairs </w:t>
            </w:r>
          </w:p>
          <w:p w14:paraId="0BB5996C" w14:textId="77777777" w:rsidR="00567E01" w:rsidRPr="00BF5473" w:rsidRDefault="00567E01" w:rsidP="00567E01">
            <w:pPr>
              <w:pStyle w:val="ListParagraph"/>
              <w:numPr>
                <w:ilvl w:val="0"/>
                <w:numId w:val="4"/>
              </w:numPr>
              <w:rPr>
                <w:rFonts w:asciiTheme="majorHAnsi" w:hAnsiTheme="majorHAnsi"/>
                <w:b/>
                <w:sz w:val="18"/>
                <w:szCs w:val="18"/>
              </w:rPr>
            </w:pPr>
            <w:r w:rsidRPr="00BF5473">
              <w:rPr>
                <w:rFonts w:asciiTheme="majorHAnsi" w:hAnsiTheme="majorHAnsi"/>
                <w:sz w:val="18"/>
                <w:szCs w:val="18"/>
              </w:rPr>
              <w:t>mock interviews</w:t>
            </w:r>
          </w:p>
          <w:p w14:paraId="410BDDF3" w14:textId="77777777" w:rsidR="00CB7CE1" w:rsidRPr="00BF5473" w:rsidRDefault="00CB7CE1" w:rsidP="00CB7CE1">
            <w:pPr>
              <w:rPr>
                <w:rFonts w:asciiTheme="majorHAnsi" w:hAnsiTheme="majorHAnsi"/>
                <w:b/>
                <w:sz w:val="18"/>
                <w:szCs w:val="18"/>
              </w:rPr>
            </w:pPr>
          </w:p>
          <w:p w14:paraId="353FF423" w14:textId="7F4E8266" w:rsidR="00CB7CE1" w:rsidRPr="00BF5473" w:rsidRDefault="00CB7CE1" w:rsidP="00BF5473">
            <w:pPr>
              <w:rPr>
                <w:rFonts w:asciiTheme="majorHAnsi" w:hAnsiTheme="majorHAnsi"/>
                <w:b/>
                <w:sz w:val="18"/>
                <w:szCs w:val="18"/>
              </w:rPr>
            </w:pPr>
          </w:p>
        </w:tc>
        <w:tc>
          <w:tcPr>
            <w:tcW w:w="2520" w:type="dxa"/>
          </w:tcPr>
          <w:p w14:paraId="6CC9CFB3" w14:textId="77777777" w:rsidR="00567E01" w:rsidRPr="00BF5473" w:rsidRDefault="00567E01" w:rsidP="00567E01">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Informational interviews with industry professionals</w:t>
            </w:r>
          </w:p>
          <w:p w14:paraId="7185BE59" w14:textId="77777777" w:rsidR="00567E01" w:rsidRPr="00BF5473" w:rsidRDefault="00567E01" w:rsidP="00567E01">
            <w:pPr>
              <w:rPr>
                <w:rFonts w:asciiTheme="majorHAnsi" w:eastAsia="Times New Roman" w:hAnsiTheme="majorHAnsi" w:cstheme="majorHAnsi"/>
                <w:b/>
                <w:sz w:val="18"/>
                <w:szCs w:val="18"/>
              </w:rPr>
            </w:pPr>
          </w:p>
        </w:tc>
        <w:tc>
          <w:tcPr>
            <w:tcW w:w="9900" w:type="dxa"/>
          </w:tcPr>
          <w:p w14:paraId="32E46228" w14:textId="41D2E95B" w:rsidR="00567E01" w:rsidRPr="00BF5473" w:rsidRDefault="00567E01" w:rsidP="00567E01">
            <w:pPr>
              <w:spacing w:after="60"/>
              <w:rPr>
                <w:rFonts w:asciiTheme="majorHAnsi" w:hAnsiTheme="majorHAnsi" w:cstheme="majorHAnsi"/>
                <w:sz w:val="18"/>
                <w:szCs w:val="18"/>
              </w:rPr>
            </w:pPr>
            <w:r w:rsidRPr="00BF5473">
              <w:rPr>
                <w:rFonts w:asciiTheme="majorHAnsi" w:hAnsiTheme="majorHAnsi" w:cstheme="majorHAnsi"/>
                <w:sz w:val="18"/>
                <w:szCs w:val="18"/>
              </w:rPr>
              <w:t xml:space="preserve">Opportunities for students to make contact with business/industry representatives for telephone or in-person interviews, lasting approximately 15 minutes to an hour, to explore opportunities in a given career area or occupation, the skills and education required for entry and success, the long-term growth potential, and, often, the career path taken by the representative in arriving at his/her current position. </w:t>
            </w:r>
          </w:p>
        </w:tc>
      </w:tr>
      <w:tr w:rsidR="00BF5473" w:rsidRPr="00BF5473" w14:paraId="738B42C4" w14:textId="77777777" w:rsidTr="00635657">
        <w:tc>
          <w:tcPr>
            <w:tcW w:w="2185" w:type="dxa"/>
            <w:vMerge/>
          </w:tcPr>
          <w:p w14:paraId="71CCEA25" w14:textId="77777777" w:rsidR="00BF5473" w:rsidRPr="00BF5473" w:rsidRDefault="00BF5473" w:rsidP="00567E01">
            <w:pPr>
              <w:pStyle w:val="ListParagraph"/>
              <w:numPr>
                <w:ilvl w:val="0"/>
                <w:numId w:val="4"/>
              </w:numPr>
              <w:rPr>
                <w:rFonts w:asciiTheme="majorHAnsi" w:hAnsiTheme="majorHAnsi"/>
                <w:sz w:val="18"/>
                <w:szCs w:val="18"/>
              </w:rPr>
            </w:pPr>
          </w:p>
        </w:tc>
        <w:tc>
          <w:tcPr>
            <w:tcW w:w="2520" w:type="dxa"/>
          </w:tcPr>
          <w:p w14:paraId="5D3F7CC9" w14:textId="69F26FEC" w:rsidR="00BF5473" w:rsidRPr="00BF5473" w:rsidRDefault="00BF5473" w:rsidP="00567E01">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highlight w:val="yellow"/>
              </w:rPr>
              <w:t>Guest speakers</w:t>
            </w:r>
          </w:p>
        </w:tc>
        <w:tc>
          <w:tcPr>
            <w:tcW w:w="9900" w:type="dxa"/>
          </w:tcPr>
          <w:p w14:paraId="67A301DC" w14:textId="15E4086D" w:rsidR="00BF5473" w:rsidRPr="00BF5473" w:rsidRDefault="00BF5473" w:rsidP="00BF5473">
            <w:pPr>
              <w:spacing w:after="60"/>
              <w:rPr>
                <w:rFonts w:asciiTheme="majorHAnsi" w:hAnsiTheme="majorHAnsi" w:cstheme="majorHAnsi"/>
                <w:sz w:val="18"/>
                <w:szCs w:val="18"/>
              </w:rPr>
            </w:pPr>
            <w:r w:rsidRPr="00BF5473">
              <w:rPr>
                <w:rFonts w:asciiTheme="majorHAnsi" w:eastAsia="Times New Roman" w:hAnsiTheme="majorHAnsi"/>
                <w:spacing w:val="3"/>
                <w:sz w:val="18"/>
                <w:szCs w:val="18"/>
                <w:shd w:val="clear" w:color="auto" w:fill="FFFFFF"/>
              </w:rPr>
              <w:t xml:space="preserve">A person invited to a gathering to give a presentation. Guest speakers </w:t>
            </w:r>
            <w:r w:rsidRPr="00BF5473">
              <w:rPr>
                <w:rFonts w:asciiTheme="majorHAnsi" w:hAnsiTheme="majorHAnsi" w:cs="Arial"/>
                <w:sz w:val="18"/>
                <w:szCs w:val="18"/>
              </w:rPr>
              <w:t>provide an opportunity for students to hear firsthand about a particular occupation, the necessary preparation and required knowledge the occupation requires, and other interesting information from a current practitioner in that field. (</w:t>
            </w:r>
            <w:hyperlink r:id="rId7" w:history="1">
              <w:r w:rsidRPr="00BF5473">
                <w:rPr>
                  <w:rStyle w:val="Hyperlink"/>
                  <w:rFonts w:asciiTheme="majorHAnsi" w:hAnsiTheme="majorHAnsi" w:cstheme="majorHAnsi"/>
                  <w:i/>
                  <w:color w:val="auto"/>
                  <w:sz w:val="18"/>
                  <w:szCs w:val="18"/>
                </w:rPr>
                <w:t>https://www.ode.state.or.us/teachlearn/certificates/diploma/guest-speaker.pdf</w:t>
              </w:r>
            </w:hyperlink>
            <w:r w:rsidRPr="00BF5473">
              <w:rPr>
                <w:rStyle w:val="Hyperlink"/>
                <w:rFonts w:asciiTheme="majorHAnsi" w:hAnsiTheme="majorHAnsi" w:cstheme="majorHAnsi"/>
                <w:i/>
                <w:color w:val="auto"/>
                <w:sz w:val="18"/>
                <w:szCs w:val="18"/>
              </w:rPr>
              <w:t>)</w:t>
            </w:r>
          </w:p>
        </w:tc>
      </w:tr>
      <w:tr w:rsidR="00BF5473" w:rsidRPr="00BF5473" w14:paraId="498E88F0" w14:textId="77777777" w:rsidTr="00635657">
        <w:tc>
          <w:tcPr>
            <w:tcW w:w="2185" w:type="dxa"/>
            <w:vMerge/>
          </w:tcPr>
          <w:p w14:paraId="47C2156D" w14:textId="77777777" w:rsidR="00BF5473" w:rsidRPr="00BF5473" w:rsidRDefault="00BF5473" w:rsidP="00567E01">
            <w:pPr>
              <w:pStyle w:val="ListParagraph"/>
              <w:numPr>
                <w:ilvl w:val="0"/>
                <w:numId w:val="4"/>
              </w:numPr>
              <w:rPr>
                <w:rFonts w:asciiTheme="majorHAnsi" w:hAnsiTheme="majorHAnsi"/>
                <w:sz w:val="18"/>
                <w:szCs w:val="18"/>
              </w:rPr>
            </w:pPr>
          </w:p>
        </w:tc>
        <w:tc>
          <w:tcPr>
            <w:tcW w:w="2520" w:type="dxa"/>
          </w:tcPr>
          <w:p w14:paraId="7BBCD740" w14:textId="66792071" w:rsidR="00BF5473" w:rsidRPr="00BF5473" w:rsidRDefault="00BF5473" w:rsidP="00567E01">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Industry speakers/ presentations</w:t>
            </w:r>
          </w:p>
        </w:tc>
        <w:tc>
          <w:tcPr>
            <w:tcW w:w="9900" w:type="dxa"/>
          </w:tcPr>
          <w:p w14:paraId="169ABE98" w14:textId="4FDE812A" w:rsidR="00BF5473" w:rsidRPr="00BF5473" w:rsidRDefault="00BF5473" w:rsidP="00567E01">
            <w:pPr>
              <w:spacing w:after="60"/>
              <w:rPr>
                <w:rFonts w:asciiTheme="majorHAnsi" w:hAnsiTheme="majorHAnsi" w:cstheme="majorHAnsi"/>
                <w:sz w:val="18"/>
                <w:szCs w:val="18"/>
              </w:rPr>
            </w:pPr>
            <w:r w:rsidRPr="00BF5473">
              <w:rPr>
                <w:rFonts w:asciiTheme="majorHAnsi" w:hAnsiTheme="majorHAnsi" w:cstheme="majorHAnsi"/>
                <w:sz w:val="18"/>
                <w:szCs w:val="18"/>
              </w:rPr>
              <w:t>Opportunities for representatives from industry to discuss careers and trends in their fields, skills required, education required, and their own career paths.</w:t>
            </w:r>
          </w:p>
        </w:tc>
      </w:tr>
      <w:tr w:rsidR="00567E01" w:rsidRPr="00BF5473" w14:paraId="620DF89E" w14:textId="77777777" w:rsidTr="00635657">
        <w:tc>
          <w:tcPr>
            <w:tcW w:w="2185" w:type="dxa"/>
            <w:vMerge/>
          </w:tcPr>
          <w:p w14:paraId="5567022F" w14:textId="4CFDB478" w:rsidR="00567E01" w:rsidRPr="00BF5473" w:rsidRDefault="00567E01" w:rsidP="00567E01">
            <w:pPr>
              <w:pStyle w:val="ListParagraph"/>
              <w:numPr>
                <w:ilvl w:val="0"/>
                <w:numId w:val="4"/>
              </w:numPr>
              <w:rPr>
                <w:rFonts w:asciiTheme="majorHAnsi" w:hAnsiTheme="majorHAnsi"/>
                <w:sz w:val="18"/>
                <w:szCs w:val="18"/>
              </w:rPr>
            </w:pPr>
          </w:p>
        </w:tc>
        <w:tc>
          <w:tcPr>
            <w:tcW w:w="2520" w:type="dxa"/>
          </w:tcPr>
          <w:p w14:paraId="02B6A312" w14:textId="5FEC7504" w:rsidR="00567E01" w:rsidRPr="00BF5473" w:rsidRDefault="00567E01" w:rsidP="00567E01">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Workplace</w:t>
            </w:r>
            <w:r w:rsidRPr="00BF5473">
              <w:rPr>
                <w:rFonts w:asciiTheme="majorHAnsi" w:eastAsia="Times New Roman" w:hAnsiTheme="majorHAnsi" w:cstheme="majorHAnsi"/>
                <w:b/>
                <w:sz w:val="18"/>
                <w:szCs w:val="18"/>
                <w:highlight w:val="yellow"/>
              </w:rPr>
              <w:t>/company</w:t>
            </w:r>
            <w:r w:rsidRPr="00BF5473">
              <w:rPr>
                <w:rFonts w:asciiTheme="majorHAnsi" w:eastAsia="Times New Roman" w:hAnsiTheme="majorHAnsi" w:cstheme="majorHAnsi"/>
                <w:b/>
                <w:sz w:val="18"/>
                <w:szCs w:val="18"/>
              </w:rPr>
              <w:t xml:space="preserve"> tours</w:t>
            </w:r>
          </w:p>
          <w:p w14:paraId="33DDBCD8" w14:textId="77777777" w:rsidR="00567E01" w:rsidRPr="00BF5473" w:rsidRDefault="00567E01" w:rsidP="00567E01">
            <w:pPr>
              <w:rPr>
                <w:rFonts w:asciiTheme="majorHAnsi" w:eastAsia="Times New Roman" w:hAnsiTheme="majorHAnsi" w:cstheme="majorHAnsi"/>
                <w:b/>
                <w:sz w:val="18"/>
                <w:szCs w:val="18"/>
              </w:rPr>
            </w:pPr>
          </w:p>
        </w:tc>
        <w:tc>
          <w:tcPr>
            <w:tcW w:w="9900" w:type="dxa"/>
          </w:tcPr>
          <w:p w14:paraId="5CA2867B" w14:textId="0C33464B" w:rsidR="00567E01" w:rsidRPr="00BF5473" w:rsidRDefault="00567E01" w:rsidP="00567E01">
            <w:pPr>
              <w:spacing w:after="60"/>
              <w:rPr>
                <w:rFonts w:asciiTheme="majorHAnsi" w:hAnsiTheme="majorHAnsi" w:cstheme="majorHAnsi"/>
                <w:sz w:val="18"/>
                <w:szCs w:val="18"/>
              </w:rPr>
            </w:pPr>
            <w:r w:rsidRPr="00BF5473">
              <w:rPr>
                <w:rFonts w:asciiTheme="majorHAnsi" w:hAnsiTheme="majorHAnsi" w:cstheme="majorHAnsi"/>
                <w:sz w:val="18"/>
                <w:szCs w:val="18"/>
              </w:rPr>
              <w:t>Visits to real workplaces that</w:t>
            </w:r>
            <w:r w:rsidRPr="00BF5473">
              <w:rPr>
                <w:rFonts w:asciiTheme="majorHAnsi" w:hAnsiTheme="majorHAnsi" w:cstheme="majorHAnsi"/>
                <w:b/>
                <w:sz w:val="18"/>
                <w:szCs w:val="18"/>
              </w:rPr>
              <w:t xml:space="preserve"> </w:t>
            </w:r>
            <w:r w:rsidRPr="00BF5473">
              <w:rPr>
                <w:rFonts w:asciiTheme="majorHAnsi" w:hAnsiTheme="majorHAnsi" w:cstheme="majorHAnsi"/>
                <w:sz w:val="18"/>
                <w:szCs w:val="18"/>
              </w:rPr>
              <w:t xml:space="preserve">provide opportunities for students to learn first-hand about the skills required in various industries or career areas; the career paths taken by those in the field; the tools, materials and equipment used; and the work environment and expectations for performance in various industries.   </w:t>
            </w:r>
          </w:p>
        </w:tc>
      </w:tr>
      <w:tr w:rsidR="00BF5473" w:rsidRPr="00BF5473" w14:paraId="2C3A8C90" w14:textId="77777777" w:rsidTr="00635657">
        <w:tc>
          <w:tcPr>
            <w:tcW w:w="2185" w:type="dxa"/>
            <w:vMerge/>
          </w:tcPr>
          <w:p w14:paraId="660E55FC" w14:textId="77777777" w:rsidR="00BF5473" w:rsidRPr="00BF5473" w:rsidRDefault="00BF5473" w:rsidP="00567E01">
            <w:pPr>
              <w:rPr>
                <w:rFonts w:asciiTheme="majorHAnsi" w:eastAsia="Times New Roman" w:hAnsiTheme="majorHAnsi" w:cstheme="majorHAnsi"/>
                <w:b/>
                <w:sz w:val="18"/>
                <w:szCs w:val="18"/>
              </w:rPr>
            </w:pPr>
          </w:p>
        </w:tc>
        <w:tc>
          <w:tcPr>
            <w:tcW w:w="2520" w:type="dxa"/>
          </w:tcPr>
          <w:p w14:paraId="4F058821" w14:textId="3E977DC9" w:rsidR="00BF5473" w:rsidRPr="00BF5473" w:rsidRDefault="00BF5473" w:rsidP="00567E01">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highlight w:val="yellow"/>
              </w:rPr>
              <w:t>Field trips</w:t>
            </w:r>
          </w:p>
        </w:tc>
        <w:tc>
          <w:tcPr>
            <w:tcW w:w="9900" w:type="dxa"/>
          </w:tcPr>
          <w:p w14:paraId="22442B36" w14:textId="621431CF" w:rsidR="008C43C2" w:rsidRPr="008C43C2" w:rsidRDefault="00BF5473" w:rsidP="008C43C2">
            <w:pPr>
              <w:pStyle w:val="FootnoteText"/>
              <w:spacing w:after="60"/>
              <w:rPr>
                <w:rFonts w:asciiTheme="majorHAnsi" w:hAnsiTheme="majorHAnsi" w:cs="Arial"/>
                <w:sz w:val="18"/>
                <w:szCs w:val="18"/>
                <w:shd w:val="clear" w:color="auto" w:fill="FFFFFF"/>
              </w:rPr>
            </w:pPr>
            <w:r w:rsidRPr="00BF5473">
              <w:rPr>
                <w:rFonts w:asciiTheme="majorHAnsi" w:hAnsiTheme="majorHAnsi" w:cs="Arial"/>
                <w:sz w:val="18"/>
                <w:szCs w:val="18"/>
                <w:shd w:val="clear" w:color="auto" w:fill="FFFFFF"/>
              </w:rPr>
              <w:t>An excursion by a group of students to a place away from their school or college environment</w:t>
            </w:r>
            <w:r w:rsidR="008C43C2">
              <w:rPr>
                <w:rFonts w:asciiTheme="majorHAnsi" w:hAnsiTheme="majorHAnsi" w:cs="Arial"/>
                <w:sz w:val="18"/>
                <w:szCs w:val="18"/>
                <w:shd w:val="clear" w:color="auto" w:fill="FFFFFF"/>
              </w:rPr>
              <w:t xml:space="preserve"> or an on-campus visit for exposure to an industry-related experience (e.g., culinary students visiting a campus kitchen).</w:t>
            </w:r>
            <w:r w:rsidR="008C43C2">
              <w:rPr>
                <w:rFonts w:asciiTheme="majorHAnsi" w:hAnsiTheme="majorHAnsi"/>
                <w:sz w:val="18"/>
                <w:szCs w:val="18"/>
              </w:rPr>
              <w:t xml:space="preserve"> </w:t>
            </w:r>
            <w:r w:rsidRPr="00BF5473">
              <w:rPr>
                <w:rFonts w:asciiTheme="majorHAnsi" w:hAnsiTheme="majorHAnsi"/>
                <w:sz w:val="18"/>
                <w:szCs w:val="18"/>
              </w:rPr>
              <w:t xml:space="preserve">A </w:t>
            </w:r>
            <w:r w:rsidRPr="00BF5473">
              <w:rPr>
                <w:rFonts w:asciiTheme="majorHAnsi" w:hAnsiTheme="majorHAnsi" w:cs="Arial"/>
                <w:bCs/>
                <w:sz w:val="18"/>
                <w:szCs w:val="18"/>
              </w:rPr>
              <w:t>field trip can</w:t>
            </w:r>
            <w:r w:rsidRPr="00BF5473">
              <w:rPr>
                <w:rFonts w:asciiTheme="majorHAnsi" w:hAnsiTheme="majorHAnsi" w:cs="Arial"/>
                <w:sz w:val="18"/>
                <w:szCs w:val="18"/>
                <w:shd w:val="clear" w:color="auto" w:fill="FFFFFF"/>
              </w:rPr>
              <w:t> </w:t>
            </w:r>
            <w:r w:rsidR="008C43C2">
              <w:rPr>
                <w:rFonts w:asciiTheme="majorHAnsi" w:hAnsiTheme="majorHAnsi" w:cs="Arial"/>
                <w:sz w:val="18"/>
                <w:szCs w:val="18"/>
                <w:shd w:val="clear" w:color="auto" w:fill="FFFFFF"/>
              </w:rPr>
              <w:t>help spark career interest and provide students with first-</w:t>
            </w:r>
            <w:r w:rsidRPr="00BF5473">
              <w:rPr>
                <w:rFonts w:asciiTheme="majorHAnsi" w:hAnsiTheme="majorHAnsi" w:cs="Arial"/>
                <w:sz w:val="18"/>
                <w:szCs w:val="18"/>
                <w:shd w:val="clear" w:color="auto" w:fill="FFFFFF"/>
              </w:rPr>
              <w:t xml:space="preserve">hand exposure to relevant industries, workplaces, careers, or specific issues and topics (e.g. industrial design or use of technology), as well as the opportunity to ask questions of personal interest and to interact with field trip hosts. </w:t>
            </w:r>
          </w:p>
        </w:tc>
      </w:tr>
      <w:tr w:rsidR="00BF5473" w:rsidRPr="00BF5473" w14:paraId="10A49C9C" w14:textId="77777777" w:rsidTr="00635657">
        <w:tc>
          <w:tcPr>
            <w:tcW w:w="2185" w:type="dxa"/>
            <w:vMerge/>
          </w:tcPr>
          <w:p w14:paraId="18CFACF8" w14:textId="77777777" w:rsidR="00BF5473" w:rsidRPr="00BF5473" w:rsidRDefault="00BF5473" w:rsidP="00567E01">
            <w:pPr>
              <w:rPr>
                <w:rFonts w:asciiTheme="majorHAnsi" w:eastAsia="Times New Roman" w:hAnsiTheme="majorHAnsi" w:cstheme="majorHAnsi"/>
                <w:b/>
                <w:sz w:val="18"/>
                <w:szCs w:val="18"/>
              </w:rPr>
            </w:pPr>
          </w:p>
        </w:tc>
        <w:tc>
          <w:tcPr>
            <w:tcW w:w="2520" w:type="dxa"/>
          </w:tcPr>
          <w:p w14:paraId="72276156" w14:textId="77777777" w:rsidR="00BF5473" w:rsidRPr="00BF5473" w:rsidRDefault="00BF5473" w:rsidP="00567E01">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rPr>
              <w:t>Career fairs</w:t>
            </w:r>
          </w:p>
          <w:p w14:paraId="722B73A4" w14:textId="3E04DAA3" w:rsidR="00BF5473" w:rsidRPr="00BF5473" w:rsidRDefault="00BF5473" w:rsidP="00567E01">
            <w:pPr>
              <w:rPr>
                <w:rFonts w:asciiTheme="majorHAnsi" w:eastAsia="Times New Roman" w:hAnsiTheme="majorHAnsi" w:cstheme="majorHAnsi"/>
                <w:b/>
                <w:sz w:val="18"/>
                <w:szCs w:val="18"/>
              </w:rPr>
            </w:pPr>
          </w:p>
        </w:tc>
        <w:tc>
          <w:tcPr>
            <w:tcW w:w="9900" w:type="dxa"/>
          </w:tcPr>
          <w:p w14:paraId="08005AB6" w14:textId="6BCE0565" w:rsidR="00BF5473" w:rsidRPr="00BF5473" w:rsidRDefault="00BF5473" w:rsidP="00567E01">
            <w:pPr>
              <w:pStyle w:val="FootnoteText"/>
              <w:spacing w:after="60"/>
              <w:rPr>
                <w:rFonts w:asciiTheme="majorHAnsi" w:hAnsiTheme="majorHAnsi" w:cstheme="majorHAnsi"/>
                <w:sz w:val="18"/>
                <w:szCs w:val="18"/>
              </w:rPr>
            </w:pPr>
            <w:r w:rsidRPr="00BF5473">
              <w:rPr>
                <w:rFonts w:asciiTheme="majorHAnsi" w:hAnsiTheme="majorHAnsi" w:cstheme="majorHAnsi"/>
                <w:sz w:val="18"/>
                <w:szCs w:val="18"/>
                <w:shd w:val="clear" w:color="auto" w:fill="FFFFFF"/>
              </w:rPr>
              <w:t>Events in which employers, recruiters, and schools provide information about job and internship opportunities in their companies or organizations. Students may interact informally with employers; in some cases, job interviews are also conducted. (UC Berkeley Career Fairs)</w:t>
            </w:r>
          </w:p>
        </w:tc>
      </w:tr>
      <w:tr w:rsidR="00BF5473" w:rsidRPr="00BF5473" w14:paraId="5DA76773" w14:textId="77777777" w:rsidTr="00BF5473">
        <w:trPr>
          <w:trHeight w:val="710"/>
        </w:trPr>
        <w:tc>
          <w:tcPr>
            <w:tcW w:w="2185" w:type="dxa"/>
            <w:vMerge/>
          </w:tcPr>
          <w:p w14:paraId="5D3E2B6F" w14:textId="77777777" w:rsidR="00BF5473" w:rsidRPr="00BF5473" w:rsidRDefault="00BF5473" w:rsidP="00567E01">
            <w:pPr>
              <w:rPr>
                <w:rFonts w:asciiTheme="majorHAnsi" w:eastAsia="Times New Roman" w:hAnsiTheme="majorHAnsi" w:cstheme="majorHAnsi"/>
                <w:b/>
                <w:sz w:val="18"/>
                <w:szCs w:val="18"/>
              </w:rPr>
            </w:pPr>
          </w:p>
        </w:tc>
        <w:tc>
          <w:tcPr>
            <w:tcW w:w="2520" w:type="dxa"/>
          </w:tcPr>
          <w:p w14:paraId="35152B33" w14:textId="59B1D5EC" w:rsidR="00BF5473" w:rsidRPr="00BF5473" w:rsidRDefault="00BF5473" w:rsidP="00567E01">
            <w:pPr>
              <w:rPr>
                <w:rFonts w:asciiTheme="majorHAnsi" w:eastAsia="Times New Roman" w:hAnsiTheme="majorHAnsi" w:cstheme="majorHAnsi"/>
                <w:b/>
                <w:sz w:val="18"/>
                <w:szCs w:val="18"/>
              </w:rPr>
            </w:pPr>
            <w:r w:rsidRPr="00BF5473">
              <w:rPr>
                <w:rFonts w:asciiTheme="majorHAnsi" w:eastAsia="Times New Roman" w:hAnsiTheme="majorHAnsi" w:cstheme="majorHAnsi"/>
                <w:b/>
                <w:sz w:val="18"/>
                <w:szCs w:val="18"/>
                <w:highlight w:val="yellow"/>
              </w:rPr>
              <w:t>Mock interviews</w:t>
            </w:r>
          </w:p>
        </w:tc>
        <w:tc>
          <w:tcPr>
            <w:tcW w:w="9900" w:type="dxa"/>
          </w:tcPr>
          <w:p w14:paraId="08271042" w14:textId="390A935F" w:rsidR="00BF5473" w:rsidRPr="00BF5473" w:rsidRDefault="00BF5473" w:rsidP="00BF5473">
            <w:pPr>
              <w:spacing w:after="60"/>
              <w:rPr>
                <w:rFonts w:asciiTheme="majorHAnsi" w:eastAsia="Times New Roman" w:hAnsiTheme="majorHAnsi" w:cs="Arial"/>
                <w:sz w:val="18"/>
                <w:szCs w:val="18"/>
                <w:shd w:val="clear" w:color="auto" w:fill="FFFFFF"/>
              </w:rPr>
            </w:pPr>
            <w:r w:rsidRPr="00BF5473">
              <w:rPr>
                <w:rFonts w:asciiTheme="majorHAnsi" w:eastAsia="Times New Roman" w:hAnsiTheme="majorHAnsi" w:cs="Arial"/>
                <w:sz w:val="18"/>
                <w:szCs w:val="18"/>
                <w:shd w:val="clear" w:color="auto" w:fill="FFFFFF"/>
              </w:rPr>
              <w:t>A simulation of an actual job </w:t>
            </w:r>
            <w:r w:rsidRPr="00BF5473">
              <w:rPr>
                <w:rFonts w:asciiTheme="majorHAnsi" w:eastAsia="Times New Roman" w:hAnsiTheme="majorHAnsi" w:cs="Arial"/>
                <w:bCs/>
                <w:sz w:val="18"/>
                <w:szCs w:val="18"/>
              </w:rPr>
              <w:t>interview</w:t>
            </w:r>
            <w:r w:rsidRPr="00BF5473">
              <w:rPr>
                <w:rFonts w:asciiTheme="majorHAnsi" w:eastAsia="Times New Roman" w:hAnsiTheme="majorHAnsi" w:cs="Arial"/>
                <w:sz w:val="18"/>
                <w:szCs w:val="18"/>
                <w:shd w:val="clear" w:color="auto" w:fill="FFFFFF"/>
              </w:rPr>
              <w:t xml:space="preserve"> which provides an opportunity to practice for an </w:t>
            </w:r>
            <w:r w:rsidRPr="00BF5473">
              <w:rPr>
                <w:rFonts w:asciiTheme="majorHAnsi" w:eastAsia="Times New Roman" w:hAnsiTheme="majorHAnsi" w:cs="Arial"/>
                <w:bCs/>
                <w:sz w:val="18"/>
                <w:szCs w:val="18"/>
              </w:rPr>
              <w:t>interview</w:t>
            </w:r>
            <w:r w:rsidRPr="00BF5473">
              <w:rPr>
                <w:rFonts w:asciiTheme="majorHAnsi" w:eastAsia="Times New Roman" w:hAnsiTheme="majorHAnsi" w:cs="Arial"/>
                <w:sz w:val="18"/>
                <w:szCs w:val="18"/>
                <w:shd w:val="clear" w:color="auto" w:fill="FFFFFF"/>
              </w:rPr>
              <w:t xml:space="preserve"> and receive feedback.  Mock interview is an exposure to the interview process and a chance to learn about industry hiring expectations when feedback is provided.  </w:t>
            </w:r>
          </w:p>
        </w:tc>
      </w:tr>
    </w:tbl>
    <w:p w14:paraId="516C1447" w14:textId="77777777" w:rsidR="00D63836" w:rsidRPr="00BF5473" w:rsidRDefault="00D63836" w:rsidP="00962134">
      <w:pPr>
        <w:rPr>
          <w:rFonts w:asciiTheme="majorHAnsi" w:hAnsiTheme="majorHAnsi" w:cstheme="majorHAnsi"/>
          <w:sz w:val="18"/>
          <w:szCs w:val="18"/>
        </w:rPr>
      </w:pPr>
    </w:p>
    <w:sectPr w:rsidR="00D63836" w:rsidRPr="00BF5473" w:rsidSect="003B7749">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47780" w14:textId="77777777" w:rsidR="00985BE2" w:rsidRDefault="00985BE2" w:rsidP="00346D01">
      <w:r>
        <w:separator/>
      </w:r>
    </w:p>
  </w:endnote>
  <w:endnote w:type="continuationSeparator" w:id="0">
    <w:p w14:paraId="5844CE9D" w14:textId="77777777" w:rsidR="00985BE2" w:rsidRDefault="00985BE2" w:rsidP="0034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1D8E" w14:textId="77777777" w:rsidR="00B36293" w:rsidRDefault="00B36293" w:rsidP="00806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6F740" w14:textId="77777777" w:rsidR="00B36293" w:rsidRDefault="00B36293" w:rsidP="00806B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48B6" w14:textId="77777777" w:rsidR="00B36293" w:rsidRPr="00635657" w:rsidRDefault="00B36293" w:rsidP="00806B6A">
    <w:pPr>
      <w:pStyle w:val="Footer"/>
      <w:framePr w:wrap="around" w:vAnchor="text" w:hAnchor="margin" w:xAlign="right" w:y="1"/>
      <w:rPr>
        <w:rStyle w:val="PageNumber"/>
        <w:rFonts w:asciiTheme="majorHAnsi" w:hAnsiTheme="majorHAnsi"/>
        <w:sz w:val="18"/>
        <w:szCs w:val="18"/>
      </w:rPr>
    </w:pPr>
    <w:r w:rsidRPr="00635657">
      <w:rPr>
        <w:rStyle w:val="PageNumber"/>
        <w:rFonts w:asciiTheme="majorHAnsi" w:hAnsiTheme="majorHAnsi"/>
        <w:sz w:val="18"/>
        <w:szCs w:val="18"/>
      </w:rPr>
      <w:fldChar w:fldCharType="begin"/>
    </w:r>
    <w:r w:rsidRPr="00635657">
      <w:rPr>
        <w:rStyle w:val="PageNumber"/>
        <w:rFonts w:asciiTheme="majorHAnsi" w:hAnsiTheme="majorHAnsi"/>
        <w:sz w:val="18"/>
        <w:szCs w:val="18"/>
      </w:rPr>
      <w:instrText xml:space="preserve">PAGE  </w:instrText>
    </w:r>
    <w:r w:rsidRPr="00635657">
      <w:rPr>
        <w:rStyle w:val="PageNumber"/>
        <w:rFonts w:asciiTheme="majorHAnsi" w:hAnsiTheme="majorHAnsi"/>
        <w:sz w:val="18"/>
        <w:szCs w:val="18"/>
      </w:rPr>
      <w:fldChar w:fldCharType="separate"/>
    </w:r>
    <w:r w:rsidR="00740E21">
      <w:rPr>
        <w:rStyle w:val="PageNumber"/>
        <w:rFonts w:asciiTheme="majorHAnsi" w:hAnsiTheme="majorHAnsi"/>
        <w:noProof/>
        <w:sz w:val="18"/>
        <w:szCs w:val="18"/>
      </w:rPr>
      <w:t>1</w:t>
    </w:r>
    <w:r w:rsidRPr="00635657">
      <w:rPr>
        <w:rStyle w:val="PageNumber"/>
        <w:rFonts w:asciiTheme="majorHAnsi" w:hAnsiTheme="majorHAnsi"/>
        <w:sz w:val="18"/>
        <w:szCs w:val="18"/>
      </w:rPr>
      <w:fldChar w:fldCharType="end"/>
    </w:r>
  </w:p>
  <w:p w14:paraId="3BF8E725" w14:textId="77777777" w:rsidR="00B36293" w:rsidRDefault="00B36293" w:rsidP="00806B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3164" w14:textId="77777777" w:rsidR="00985BE2" w:rsidRDefault="00985BE2" w:rsidP="00346D01">
      <w:r>
        <w:separator/>
      </w:r>
    </w:p>
  </w:footnote>
  <w:footnote w:type="continuationSeparator" w:id="0">
    <w:p w14:paraId="50CF8072" w14:textId="77777777" w:rsidR="00985BE2" w:rsidRDefault="00985BE2" w:rsidP="00346D01">
      <w:r>
        <w:continuationSeparator/>
      </w:r>
    </w:p>
  </w:footnote>
  <w:footnote w:id="1">
    <w:p w14:paraId="5D2F65C5" w14:textId="756EFA6C" w:rsidR="00B36293" w:rsidRDefault="00B36293">
      <w:pPr>
        <w:pStyle w:val="FootnoteText"/>
      </w:pPr>
      <w:r>
        <w:rPr>
          <w:rStyle w:val="FootnoteReference"/>
        </w:rPr>
        <w:footnoteRef/>
      </w:r>
      <w:r>
        <w:t xml:space="preserve"> </w:t>
      </w:r>
      <w:r w:rsidRPr="00454FD0">
        <w:rPr>
          <w:rFonts w:asciiTheme="majorHAnsi" w:hAnsiTheme="majorHAnsi" w:cs="Arial"/>
          <w:i/>
          <w:color w:val="000000"/>
          <w:sz w:val="16"/>
          <w:szCs w:val="16"/>
          <w:highlight w:val="yellow"/>
        </w:rPr>
        <w:t>Highlighted</w:t>
      </w:r>
      <w:r w:rsidRPr="00454FD0">
        <w:rPr>
          <w:rFonts w:asciiTheme="majorHAnsi" w:hAnsiTheme="majorHAnsi" w:cs="Arial"/>
          <w:i/>
          <w:color w:val="000000"/>
          <w:sz w:val="16"/>
          <w:szCs w:val="16"/>
        </w:rPr>
        <w:t xml:space="preserve"> additions are from MIS Data Elements.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74A23"/>
    <w:multiLevelType w:val="multilevel"/>
    <w:tmpl w:val="B36CC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93064"/>
    <w:multiLevelType w:val="hybridMultilevel"/>
    <w:tmpl w:val="330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BB5563"/>
    <w:multiLevelType w:val="hybridMultilevel"/>
    <w:tmpl w:val="19BC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4C1D49"/>
    <w:multiLevelType w:val="hybridMultilevel"/>
    <w:tmpl w:val="3EDC0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9"/>
    <w:rsid w:val="000471F1"/>
    <w:rsid w:val="00051412"/>
    <w:rsid w:val="000C14C6"/>
    <w:rsid w:val="00142104"/>
    <w:rsid w:val="00150109"/>
    <w:rsid w:val="00155735"/>
    <w:rsid w:val="00162D2A"/>
    <w:rsid w:val="001C0660"/>
    <w:rsid w:val="001E4CCD"/>
    <w:rsid w:val="001F2DCF"/>
    <w:rsid w:val="00227A22"/>
    <w:rsid w:val="00231F51"/>
    <w:rsid w:val="002640CE"/>
    <w:rsid w:val="00313B19"/>
    <w:rsid w:val="003144F1"/>
    <w:rsid w:val="003431D2"/>
    <w:rsid w:val="00346D01"/>
    <w:rsid w:val="003B7749"/>
    <w:rsid w:val="003E1853"/>
    <w:rsid w:val="004039FF"/>
    <w:rsid w:val="004120D1"/>
    <w:rsid w:val="00454FD0"/>
    <w:rsid w:val="00462D73"/>
    <w:rsid w:val="004A235D"/>
    <w:rsid w:val="004B5084"/>
    <w:rsid w:val="004F0CB8"/>
    <w:rsid w:val="0050331C"/>
    <w:rsid w:val="00524B03"/>
    <w:rsid w:val="00546107"/>
    <w:rsid w:val="00567E01"/>
    <w:rsid w:val="0057712B"/>
    <w:rsid w:val="00586C0A"/>
    <w:rsid w:val="005C2B4D"/>
    <w:rsid w:val="00605C73"/>
    <w:rsid w:val="00617438"/>
    <w:rsid w:val="00635657"/>
    <w:rsid w:val="00687CD4"/>
    <w:rsid w:val="006B3EAC"/>
    <w:rsid w:val="007058B0"/>
    <w:rsid w:val="00725F43"/>
    <w:rsid w:val="00740E21"/>
    <w:rsid w:val="007930F8"/>
    <w:rsid w:val="007B05BA"/>
    <w:rsid w:val="007D6A03"/>
    <w:rsid w:val="00806B6A"/>
    <w:rsid w:val="00815D6E"/>
    <w:rsid w:val="00820496"/>
    <w:rsid w:val="00830501"/>
    <w:rsid w:val="00834734"/>
    <w:rsid w:val="00843F8D"/>
    <w:rsid w:val="00852E4A"/>
    <w:rsid w:val="008C43C2"/>
    <w:rsid w:val="00962134"/>
    <w:rsid w:val="00983714"/>
    <w:rsid w:val="00985BE2"/>
    <w:rsid w:val="009942C1"/>
    <w:rsid w:val="009C574C"/>
    <w:rsid w:val="009D785D"/>
    <w:rsid w:val="00A3489B"/>
    <w:rsid w:val="00A416BF"/>
    <w:rsid w:val="00AE162F"/>
    <w:rsid w:val="00AE4175"/>
    <w:rsid w:val="00AF437E"/>
    <w:rsid w:val="00B34A19"/>
    <w:rsid w:val="00B36293"/>
    <w:rsid w:val="00B37084"/>
    <w:rsid w:val="00B406D4"/>
    <w:rsid w:val="00B827B0"/>
    <w:rsid w:val="00BF5473"/>
    <w:rsid w:val="00C60350"/>
    <w:rsid w:val="00C60376"/>
    <w:rsid w:val="00CB6189"/>
    <w:rsid w:val="00CB7CE1"/>
    <w:rsid w:val="00D34E2F"/>
    <w:rsid w:val="00D63836"/>
    <w:rsid w:val="00D64F37"/>
    <w:rsid w:val="00D92EDA"/>
    <w:rsid w:val="00DA0858"/>
    <w:rsid w:val="00DB71EA"/>
    <w:rsid w:val="00DF3434"/>
    <w:rsid w:val="00E81653"/>
    <w:rsid w:val="00E866EF"/>
    <w:rsid w:val="00EE226B"/>
    <w:rsid w:val="00EE6C66"/>
    <w:rsid w:val="00F11B0F"/>
    <w:rsid w:val="00F163DC"/>
    <w:rsid w:val="00F45285"/>
    <w:rsid w:val="00F9465D"/>
    <w:rsid w:val="00FA1918"/>
    <w:rsid w:val="00FA75E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E5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109"/>
  </w:style>
  <w:style w:type="table" w:styleId="TableGrid">
    <w:name w:val="Table Grid"/>
    <w:basedOn w:val="TableNormal"/>
    <w:uiPriority w:val="59"/>
    <w:rsid w:val="00962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346D01"/>
    <w:pPr>
      <w:spacing w:before="100" w:beforeAutospacing="1" w:after="100" w:afterAutospacing="1"/>
    </w:pPr>
    <w:rPr>
      <w:rFonts w:ascii="Arial Unicode MS" w:eastAsia="Arial Unicode MS" w:hAnsi="Arial Unicode MS" w:cs="Times New Roman"/>
      <w:noProof/>
      <w:szCs w:val="20"/>
    </w:rPr>
  </w:style>
  <w:style w:type="character" w:styleId="FootnoteReference">
    <w:name w:val="footnote reference"/>
    <w:basedOn w:val="DefaultParagraphFont"/>
    <w:semiHidden/>
    <w:rsid w:val="00346D01"/>
    <w:rPr>
      <w:vertAlign w:val="superscript"/>
    </w:rPr>
  </w:style>
  <w:style w:type="paragraph" w:styleId="FootnoteText">
    <w:name w:val="footnote text"/>
    <w:basedOn w:val="Normal"/>
    <w:link w:val="FootnoteTextChar"/>
    <w:semiHidden/>
    <w:rsid w:val="00346D01"/>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346D01"/>
    <w:rPr>
      <w:rFonts w:ascii="Times New Roman" w:eastAsia="Times New Roman" w:hAnsi="Times New Roman" w:cs="Times New Roman"/>
      <w:noProof/>
      <w:sz w:val="20"/>
      <w:szCs w:val="20"/>
    </w:rPr>
  </w:style>
  <w:style w:type="paragraph" w:styleId="BodyText">
    <w:name w:val="Body Text"/>
    <w:basedOn w:val="Normal"/>
    <w:link w:val="BodyTextChar"/>
    <w:semiHidden/>
    <w:rsid w:val="00D63836"/>
    <w:rPr>
      <w:rFonts w:ascii="Times" w:eastAsia="Times" w:hAnsi="Times" w:cs="Times New Roman"/>
      <w:noProof/>
      <w:color w:val="000000"/>
      <w:szCs w:val="20"/>
    </w:rPr>
  </w:style>
  <w:style w:type="character" w:customStyle="1" w:styleId="BodyTextChar">
    <w:name w:val="Body Text Char"/>
    <w:basedOn w:val="DefaultParagraphFont"/>
    <w:link w:val="BodyText"/>
    <w:semiHidden/>
    <w:rsid w:val="00D63836"/>
    <w:rPr>
      <w:rFonts w:ascii="Times" w:eastAsia="Times" w:hAnsi="Times" w:cs="Times New Roman"/>
      <w:noProof/>
      <w:color w:val="000000"/>
      <w:szCs w:val="20"/>
    </w:rPr>
  </w:style>
  <w:style w:type="paragraph" w:styleId="BalloonText">
    <w:name w:val="Balloon Text"/>
    <w:basedOn w:val="Normal"/>
    <w:link w:val="BalloonTextChar"/>
    <w:uiPriority w:val="99"/>
    <w:semiHidden/>
    <w:unhideWhenUsed/>
    <w:rsid w:val="009942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2C1"/>
    <w:rPr>
      <w:rFonts w:ascii="Times New Roman" w:hAnsi="Times New Roman" w:cs="Times New Roman"/>
      <w:sz w:val="18"/>
      <w:szCs w:val="18"/>
    </w:rPr>
  </w:style>
  <w:style w:type="paragraph" w:styleId="Footer">
    <w:name w:val="footer"/>
    <w:basedOn w:val="Normal"/>
    <w:link w:val="FooterChar"/>
    <w:uiPriority w:val="99"/>
    <w:unhideWhenUsed/>
    <w:rsid w:val="00806B6A"/>
    <w:pPr>
      <w:tabs>
        <w:tab w:val="center" w:pos="4320"/>
        <w:tab w:val="right" w:pos="8640"/>
      </w:tabs>
    </w:pPr>
  </w:style>
  <w:style w:type="character" w:customStyle="1" w:styleId="FooterChar">
    <w:name w:val="Footer Char"/>
    <w:basedOn w:val="DefaultParagraphFont"/>
    <w:link w:val="Footer"/>
    <w:uiPriority w:val="99"/>
    <w:rsid w:val="00806B6A"/>
  </w:style>
  <w:style w:type="character" w:styleId="PageNumber">
    <w:name w:val="page number"/>
    <w:basedOn w:val="DefaultParagraphFont"/>
    <w:uiPriority w:val="99"/>
    <w:semiHidden/>
    <w:unhideWhenUsed/>
    <w:rsid w:val="00806B6A"/>
  </w:style>
  <w:style w:type="paragraph" w:styleId="Header">
    <w:name w:val="header"/>
    <w:basedOn w:val="Normal"/>
    <w:link w:val="HeaderChar"/>
    <w:uiPriority w:val="99"/>
    <w:unhideWhenUsed/>
    <w:rsid w:val="00806B6A"/>
    <w:pPr>
      <w:tabs>
        <w:tab w:val="center" w:pos="4320"/>
        <w:tab w:val="right" w:pos="8640"/>
      </w:tabs>
    </w:pPr>
  </w:style>
  <w:style w:type="character" w:customStyle="1" w:styleId="HeaderChar">
    <w:name w:val="Header Char"/>
    <w:basedOn w:val="DefaultParagraphFont"/>
    <w:link w:val="Header"/>
    <w:uiPriority w:val="99"/>
    <w:rsid w:val="00806B6A"/>
  </w:style>
  <w:style w:type="paragraph" w:styleId="ListParagraph">
    <w:name w:val="List Paragraph"/>
    <w:basedOn w:val="Normal"/>
    <w:uiPriority w:val="34"/>
    <w:qFormat/>
    <w:rsid w:val="00852E4A"/>
    <w:pPr>
      <w:ind w:left="720"/>
      <w:contextualSpacing/>
    </w:pPr>
  </w:style>
  <w:style w:type="character" w:styleId="Hyperlink">
    <w:name w:val="Hyperlink"/>
    <w:basedOn w:val="DefaultParagraphFont"/>
    <w:uiPriority w:val="99"/>
    <w:unhideWhenUsed/>
    <w:rsid w:val="00830501"/>
    <w:rPr>
      <w:color w:val="0000FF" w:themeColor="hyperlink"/>
      <w:u w:val="single"/>
    </w:rPr>
  </w:style>
  <w:style w:type="character" w:customStyle="1" w:styleId="UnresolvedMention">
    <w:name w:val="Unresolved Mention"/>
    <w:basedOn w:val="DefaultParagraphFont"/>
    <w:uiPriority w:val="99"/>
    <w:semiHidden/>
    <w:unhideWhenUsed/>
    <w:rsid w:val="00830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545">
      <w:bodyDiv w:val="1"/>
      <w:marLeft w:val="0"/>
      <w:marRight w:val="0"/>
      <w:marTop w:val="0"/>
      <w:marBottom w:val="0"/>
      <w:divBdr>
        <w:top w:val="none" w:sz="0" w:space="0" w:color="auto"/>
        <w:left w:val="none" w:sz="0" w:space="0" w:color="auto"/>
        <w:bottom w:val="none" w:sz="0" w:space="0" w:color="auto"/>
        <w:right w:val="none" w:sz="0" w:space="0" w:color="auto"/>
      </w:divBdr>
      <w:divsChild>
        <w:div w:id="408579130">
          <w:marLeft w:val="0"/>
          <w:marRight w:val="0"/>
          <w:marTop w:val="0"/>
          <w:marBottom w:val="0"/>
          <w:divBdr>
            <w:top w:val="none" w:sz="0" w:space="0" w:color="auto"/>
            <w:left w:val="none" w:sz="0" w:space="0" w:color="auto"/>
            <w:bottom w:val="none" w:sz="0" w:space="0" w:color="auto"/>
            <w:right w:val="none" w:sz="0" w:space="0" w:color="auto"/>
          </w:divBdr>
          <w:divsChild>
            <w:div w:id="79102880">
              <w:marLeft w:val="0"/>
              <w:marRight w:val="0"/>
              <w:marTop w:val="0"/>
              <w:marBottom w:val="0"/>
              <w:divBdr>
                <w:top w:val="none" w:sz="0" w:space="0" w:color="auto"/>
                <w:left w:val="none" w:sz="0" w:space="0" w:color="auto"/>
                <w:bottom w:val="none" w:sz="0" w:space="0" w:color="auto"/>
                <w:right w:val="none" w:sz="0" w:space="0" w:color="auto"/>
              </w:divBdr>
              <w:divsChild>
                <w:div w:id="12482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485">
      <w:bodyDiv w:val="1"/>
      <w:marLeft w:val="0"/>
      <w:marRight w:val="0"/>
      <w:marTop w:val="0"/>
      <w:marBottom w:val="0"/>
      <w:divBdr>
        <w:top w:val="none" w:sz="0" w:space="0" w:color="auto"/>
        <w:left w:val="none" w:sz="0" w:space="0" w:color="auto"/>
        <w:bottom w:val="none" w:sz="0" w:space="0" w:color="auto"/>
        <w:right w:val="none" w:sz="0" w:space="0" w:color="auto"/>
      </w:divBdr>
    </w:div>
    <w:div w:id="154152212">
      <w:bodyDiv w:val="1"/>
      <w:marLeft w:val="0"/>
      <w:marRight w:val="0"/>
      <w:marTop w:val="0"/>
      <w:marBottom w:val="0"/>
      <w:divBdr>
        <w:top w:val="none" w:sz="0" w:space="0" w:color="auto"/>
        <w:left w:val="none" w:sz="0" w:space="0" w:color="auto"/>
        <w:bottom w:val="none" w:sz="0" w:space="0" w:color="auto"/>
        <w:right w:val="none" w:sz="0" w:space="0" w:color="auto"/>
      </w:divBdr>
    </w:div>
    <w:div w:id="164446632">
      <w:bodyDiv w:val="1"/>
      <w:marLeft w:val="0"/>
      <w:marRight w:val="0"/>
      <w:marTop w:val="0"/>
      <w:marBottom w:val="0"/>
      <w:divBdr>
        <w:top w:val="none" w:sz="0" w:space="0" w:color="auto"/>
        <w:left w:val="none" w:sz="0" w:space="0" w:color="auto"/>
        <w:bottom w:val="none" w:sz="0" w:space="0" w:color="auto"/>
        <w:right w:val="none" w:sz="0" w:space="0" w:color="auto"/>
      </w:divBdr>
    </w:div>
    <w:div w:id="236286325">
      <w:bodyDiv w:val="1"/>
      <w:marLeft w:val="0"/>
      <w:marRight w:val="0"/>
      <w:marTop w:val="0"/>
      <w:marBottom w:val="0"/>
      <w:divBdr>
        <w:top w:val="none" w:sz="0" w:space="0" w:color="auto"/>
        <w:left w:val="none" w:sz="0" w:space="0" w:color="auto"/>
        <w:bottom w:val="none" w:sz="0" w:space="0" w:color="auto"/>
        <w:right w:val="none" w:sz="0" w:space="0" w:color="auto"/>
      </w:divBdr>
    </w:div>
    <w:div w:id="411390792">
      <w:bodyDiv w:val="1"/>
      <w:marLeft w:val="0"/>
      <w:marRight w:val="0"/>
      <w:marTop w:val="0"/>
      <w:marBottom w:val="0"/>
      <w:divBdr>
        <w:top w:val="none" w:sz="0" w:space="0" w:color="auto"/>
        <w:left w:val="none" w:sz="0" w:space="0" w:color="auto"/>
        <w:bottom w:val="none" w:sz="0" w:space="0" w:color="auto"/>
        <w:right w:val="none" w:sz="0" w:space="0" w:color="auto"/>
      </w:divBdr>
    </w:div>
    <w:div w:id="634024199">
      <w:bodyDiv w:val="1"/>
      <w:marLeft w:val="0"/>
      <w:marRight w:val="0"/>
      <w:marTop w:val="0"/>
      <w:marBottom w:val="0"/>
      <w:divBdr>
        <w:top w:val="none" w:sz="0" w:space="0" w:color="auto"/>
        <w:left w:val="none" w:sz="0" w:space="0" w:color="auto"/>
        <w:bottom w:val="none" w:sz="0" w:space="0" w:color="auto"/>
        <w:right w:val="none" w:sz="0" w:space="0" w:color="auto"/>
      </w:divBdr>
    </w:div>
    <w:div w:id="741609455">
      <w:bodyDiv w:val="1"/>
      <w:marLeft w:val="0"/>
      <w:marRight w:val="0"/>
      <w:marTop w:val="0"/>
      <w:marBottom w:val="0"/>
      <w:divBdr>
        <w:top w:val="none" w:sz="0" w:space="0" w:color="auto"/>
        <w:left w:val="none" w:sz="0" w:space="0" w:color="auto"/>
        <w:bottom w:val="none" w:sz="0" w:space="0" w:color="auto"/>
        <w:right w:val="none" w:sz="0" w:space="0" w:color="auto"/>
      </w:divBdr>
    </w:div>
    <w:div w:id="827524556">
      <w:bodyDiv w:val="1"/>
      <w:marLeft w:val="0"/>
      <w:marRight w:val="0"/>
      <w:marTop w:val="0"/>
      <w:marBottom w:val="0"/>
      <w:divBdr>
        <w:top w:val="none" w:sz="0" w:space="0" w:color="auto"/>
        <w:left w:val="none" w:sz="0" w:space="0" w:color="auto"/>
        <w:bottom w:val="none" w:sz="0" w:space="0" w:color="auto"/>
        <w:right w:val="none" w:sz="0" w:space="0" w:color="auto"/>
      </w:divBdr>
    </w:div>
    <w:div w:id="939333433">
      <w:bodyDiv w:val="1"/>
      <w:marLeft w:val="0"/>
      <w:marRight w:val="0"/>
      <w:marTop w:val="0"/>
      <w:marBottom w:val="0"/>
      <w:divBdr>
        <w:top w:val="none" w:sz="0" w:space="0" w:color="auto"/>
        <w:left w:val="none" w:sz="0" w:space="0" w:color="auto"/>
        <w:bottom w:val="none" w:sz="0" w:space="0" w:color="auto"/>
        <w:right w:val="none" w:sz="0" w:space="0" w:color="auto"/>
      </w:divBdr>
    </w:div>
    <w:div w:id="1187911838">
      <w:bodyDiv w:val="1"/>
      <w:marLeft w:val="0"/>
      <w:marRight w:val="0"/>
      <w:marTop w:val="0"/>
      <w:marBottom w:val="0"/>
      <w:divBdr>
        <w:top w:val="none" w:sz="0" w:space="0" w:color="auto"/>
        <w:left w:val="none" w:sz="0" w:space="0" w:color="auto"/>
        <w:bottom w:val="none" w:sz="0" w:space="0" w:color="auto"/>
        <w:right w:val="none" w:sz="0" w:space="0" w:color="auto"/>
      </w:divBdr>
    </w:div>
    <w:div w:id="1288854604">
      <w:bodyDiv w:val="1"/>
      <w:marLeft w:val="0"/>
      <w:marRight w:val="0"/>
      <w:marTop w:val="0"/>
      <w:marBottom w:val="0"/>
      <w:divBdr>
        <w:top w:val="none" w:sz="0" w:space="0" w:color="auto"/>
        <w:left w:val="none" w:sz="0" w:space="0" w:color="auto"/>
        <w:bottom w:val="none" w:sz="0" w:space="0" w:color="auto"/>
        <w:right w:val="none" w:sz="0" w:space="0" w:color="auto"/>
      </w:divBdr>
      <w:divsChild>
        <w:div w:id="1766149144">
          <w:marLeft w:val="0"/>
          <w:marRight w:val="0"/>
          <w:marTop w:val="0"/>
          <w:marBottom w:val="0"/>
          <w:divBdr>
            <w:top w:val="none" w:sz="0" w:space="0" w:color="auto"/>
            <w:left w:val="none" w:sz="0" w:space="0" w:color="auto"/>
            <w:bottom w:val="none" w:sz="0" w:space="0" w:color="auto"/>
            <w:right w:val="none" w:sz="0" w:space="0" w:color="auto"/>
          </w:divBdr>
          <w:divsChild>
            <w:div w:id="941961919">
              <w:marLeft w:val="0"/>
              <w:marRight w:val="0"/>
              <w:marTop w:val="0"/>
              <w:marBottom w:val="0"/>
              <w:divBdr>
                <w:top w:val="none" w:sz="0" w:space="0" w:color="auto"/>
                <w:left w:val="none" w:sz="0" w:space="0" w:color="auto"/>
                <w:bottom w:val="none" w:sz="0" w:space="0" w:color="auto"/>
                <w:right w:val="none" w:sz="0" w:space="0" w:color="auto"/>
              </w:divBdr>
              <w:divsChild>
                <w:div w:id="18980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3099">
      <w:bodyDiv w:val="1"/>
      <w:marLeft w:val="0"/>
      <w:marRight w:val="0"/>
      <w:marTop w:val="0"/>
      <w:marBottom w:val="0"/>
      <w:divBdr>
        <w:top w:val="none" w:sz="0" w:space="0" w:color="auto"/>
        <w:left w:val="none" w:sz="0" w:space="0" w:color="auto"/>
        <w:bottom w:val="none" w:sz="0" w:space="0" w:color="auto"/>
        <w:right w:val="none" w:sz="0" w:space="0" w:color="auto"/>
      </w:divBdr>
    </w:div>
    <w:div w:id="1515803014">
      <w:bodyDiv w:val="1"/>
      <w:marLeft w:val="0"/>
      <w:marRight w:val="0"/>
      <w:marTop w:val="0"/>
      <w:marBottom w:val="0"/>
      <w:divBdr>
        <w:top w:val="none" w:sz="0" w:space="0" w:color="auto"/>
        <w:left w:val="none" w:sz="0" w:space="0" w:color="auto"/>
        <w:bottom w:val="none" w:sz="0" w:space="0" w:color="auto"/>
        <w:right w:val="none" w:sz="0" w:space="0" w:color="auto"/>
      </w:divBdr>
    </w:div>
    <w:div w:id="1584754172">
      <w:bodyDiv w:val="1"/>
      <w:marLeft w:val="0"/>
      <w:marRight w:val="0"/>
      <w:marTop w:val="0"/>
      <w:marBottom w:val="0"/>
      <w:divBdr>
        <w:top w:val="none" w:sz="0" w:space="0" w:color="auto"/>
        <w:left w:val="none" w:sz="0" w:space="0" w:color="auto"/>
        <w:bottom w:val="none" w:sz="0" w:space="0" w:color="auto"/>
        <w:right w:val="none" w:sz="0" w:space="0" w:color="auto"/>
      </w:divBdr>
      <w:divsChild>
        <w:div w:id="1646857477">
          <w:marLeft w:val="0"/>
          <w:marRight w:val="0"/>
          <w:marTop w:val="0"/>
          <w:marBottom w:val="0"/>
          <w:divBdr>
            <w:top w:val="none" w:sz="0" w:space="0" w:color="auto"/>
            <w:left w:val="none" w:sz="0" w:space="0" w:color="auto"/>
            <w:bottom w:val="none" w:sz="0" w:space="0" w:color="auto"/>
            <w:right w:val="none" w:sz="0" w:space="0" w:color="auto"/>
          </w:divBdr>
        </w:div>
        <w:div w:id="270941964">
          <w:marLeft w:val="0"/>
          <w:marRight w:val="0"/>
          <w:marTop w:val="0"/>
          <w:marBottom w:val="0"/>
          <w:divBdr>
            <w:top w:val="none" w:sz="0" w:space="0" w:color="auto"/>
            <w:left w:val="none" w:sz="0" w:space="0" w:color="auto"/>
            <w:bottom w:val="none" w:sz="0" w:space="0" w:color="auto"/>
            <w:right w:val="none" w:sz="0" w:space="0" w:color="auto"/>
          </w:divBdr>
        </w:div>
        <w:div w:id="1471678287">
          <w:marLeft w:val="0"/>
          <w:marRight w:val="0"/>
          <w:marTop w:val="0"/>
          <w:marBottom w:val="0"/>
          <w:divBdr>
            <w:top w:val="none" w:sz="0" w:space="0" w:color="auto"/>
            <w:left w:val="none" w:sz="0" w:space="0" w:color="auto"/>
            <w:bottom w:val="none" w:sz="0" w:space="0" w:color="auto"/>
            <w:right w:val="none" w:sz="0" w:space="0" w:color="auto"/>
          </w:divBdr>
        </w:div>
        <w:div w:id="1586956519">
          <w:marLeft w:val="0"/>
          <w:marRight w:val="0"/>
          <w:marTop w:val="0"/>
          <w:marBottom w:val="0"/>
          <w:divBdr>
            <w:top w:val="none" w:sz="0" w:space="0" w:color="auto"/>
            <w:left w:val="none" w:sz="0" w:space="0" w:color="auto"/>
            <w:bottom w:val="none" w:sz="0" w:space="0" w:color="auto"/>
            <w:right w:val="none" w:sz="0" w:space="0" w:color="auto"/>
          </w:divBdr>
        </w:div>
        <w:div w:id="484398583">
          <w:marLeft w:val="0"/>
          <w:marRight w:val="0"/>
          <w:marTop w:val="0"/>
          <w:marBottom w:val="0"/>
          <w:divBdr>
            <w:top w:val="none" w:sz="0" w:space="0" w:color="auto"/>
            <w:left w:val="none" w:sz="0" w:space="0" w:color="auto"/>
            <w:bottom w:val="none" w:sz="0" w:space="0" w:color="auto"/>
            <w:right w:val="none" w:sz="0" w:space="0" w:color="auto"/>
          </w:divBdr>
        </w:div>
        <w:div w:id="2106224435">
          <w:marLeft w:val="0"/>
          <w:marRight w:val="0"/>
          <w:marTop w:val="0"/>
          <w:marBottom w:val="0"/>
          <w:divBdr>
            <w:top w:val="none" w:sz="0" w:space="0" w:color="auto"/>
            <w:left w:val="none" w:sz="0" w:space="0" w:color="auto"/>
            <w:bottom w:val="none" w:sz="0" w:space="0" w:color="auto"/>
            <w:right w:val="none" w:sz="0" w:space="0" w:color="auto"/>
          </w:divBdr>
        </w:div>
        <w:div w:id="771165745">
          <w:marLeft w:val="0"/>
          <w:marRight w:val="0"/>
          <w:marTop w:val="0"/>
          <w:marBottom w:val="0"/>
          <w:divBdr>
            <w:top w:val="none" w:sz="0" w:space="0" w:color="auto"/>
            <w:left w:val="none" w:sz="0" w:space="0" w:color="auto"/>
            <w:bottom w:val="none" w:sz="0" w:space="0" w:color="auto"/>
            <w:right w:val="none" w:sz="0" w:space="0" w:color="auto"/>
          </w:divBdr>
        </w:div>
        <w:div w:id="1910925047">
          <w:marLeft w:val="0"/>
          <w:marRight w:val="0"/>
          <w:marTop w:val="0"/>
          <w:marBottom w:val="0"/>
          <w:divBdr>
            <w:top w:val="none" w:sz="0" w:space="0" w:color="auto"/>
            <w:left w:val="none" w:sz="0" w:space="0" w:color="auto"/>
            <w:bottom w:val="none" w:sz="0" w:space="0" w:color="auto"/>
            <w:right w:val="none" w:sz="0" w:space="0" w:color="auto"/>
          </w:divBdr>
        </w:div>
        <w:div w:id="896624519">
          <w:marLeft w:val="0"/>
          <w:marRight w:val="0"/>
          <w:marTop w:val="0"/>
          <w:marBottom w:val="0"/>
          <w:divBdr>
            <w:top w:val="none" w:sz="0" w:space="0" w:color="auto"/>
            <w:left w:val="none" w:sz="0" w:space="0" w:color="auto"/>
            <w:bottom w:val="none" w:sz="0" w:space="0" w:color="auto"/>
            <w:right w:val="none" w:sz="0" w:space="0" w:color="auto"/>
          </w:divBdr>
        </w:div>
        <w:div w:id="1286619913">
          <w:marLeft w:val="0"/>
          <w:marRight w:val="0"/>
          <w:marTop w:val="0"/>
          <w:marBottom w:val="0"/>
          <w:divBdr>
            <w:top w:val="none" w:sz="0" w:space="0" w:color="auto"/>
            <w:left w:val="none" w:sz="0" w:space="0" w:color="auto"/>
            <w:bottom w:val="none" w:sz="0" w:space="0" w:color="auto"/>
            <w:right w:val="none" w:sz="0" w:space="0" w:color="auto"/>
          </w:divBdr>
        </w:div>
        <w:div w:id="1345398559">
          <w:marLeft w:val="0"/>
          <w:marRight w:val="0"/>
          <w:marTop w:val="0"/>
          <w:marBottom w:val="0"/>
          <w:divBdr>
            <w:top w:val="none" w:sz="0" w:space="0" w:color="auto"/>
            <w:left w:val="none" w:sz="0" w:space="0" w:color="auto"/>
            <w:bottom w:val="none" w:sz="0" w:space="0" w:color="auto"/>
            <w:right w:val="none" w:sz="0" w:space="0" w:color="auto"/>
          </w:divBdr>
        </w:div>
      </w:divsChild>
    </w:div>
    <w:div w:id="1680572356">
      <w:bodyDiv w:val="1"/>
      <w:marLeft w:val="0"/>
      <w:marRight w:val="0"/>
      <w:marTop w:val="0"/>
      <w:marBottom w:val="0"/>
      <w:divBdr>
        <w:top w:val="none" w:sz="0" w:space="0" w:color="auto"/>
        <w:left w:val="none" w:sz="0" w:space="0" w:color="auto"/>
        <w:bottom w:val="none" w:sz="0" w:space="0" w:color="auto"/>
        <w:right w:val="none" w:sz="0" w:space="0" w:color="auto"/>
      </w:divBdr>
    </w:div>
    <w:div w:id="1812939465">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2003700211">
      <w:bodyDiv w:val="1"/>
      <w:marLeft w:val="0"/>
      <w:marRight w:val="0"/>
      <w:marTop w:val="0"/>
      <w:marBottom w:val="0"/>
      <w:divBdr>
        <w:top w:val="none" w:sz="0" w:space="0" w:color="auto"/>
        <w:left w:val="none" w:sz="0" w:space="0" w:color="auto"/>
        <w:bottom w:val="none" w:sz="0" w:space="0" w:color="auto"/>
        <w:right w:val="none" w:sz="0" w:space="0" w:color="auto"/>
      </w:divBdr>
    </w:div>
    <w:div w:id="200913973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sChild>
            <w:div w:id="1873615018">
              <w:marLeft w:val="0"/>
              <w:marRight w:val="0"/>
              <w:marTop w:val="0"/>
              <w:marBottom w:val="0"/>
              <w:divBdr>
                <w:top w:val="none" w:sz="0" w:space="0" w:color="auto"/>
                <w:left w:val="none" w:sz="0" w:space="0" w:color="auto"/>
                <w:bottom w:val="none" w:sz="0" w:space="0" w:color="auto"/>
                <w:right w:val="none" w:sz="0" w:space="0" w:color="auto"/>
              </w:divBdr>
              <w:divsChild>
                <w:div w:id="14254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05101">
      <w:bodyDiv w:val="1"/>
      <w:marLeft w:val="0"/>
      <w:marRight w:val="0"/>
      <w:marTop w:val="0"/>
      <w:marBottom w:val="0"/>
      <w:divBdr>
        <w:top w:val="none" w:sz="0" w:space="0" w:color="auto"/>
        <w:left w:val="none" w:sz="0" w:space="0" w:color="auto"/>
        <w:bottom w:val="none" w:sz="0" w:space="0" w:color="auto"/>
        <w:right w:val="none" w:sz="0" w:space="0" w:color="auto"/>
      </w:divBdr>
    </w:div>
    <w:div w:id="2062049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de.state.or.us/teachlearn/certificates/diploma/guest-speaker.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9894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Headington</dc:creator>
  <cp:keywords/>
  <dc:description/>
  <cp:lastModifiedBy>Joy Lewis</cp:lastModifiedBy>
  <cp:revision>2</cp:revision>
  <cp:lastPrinted>2018-10-10T14:21:00Z</cp:lastPrinted>
  <dcterms:created xsi:type="dcterms:W3CDTF">2019-01-11T22:06:00Z</dcterms:created>
  <dcterms:modified xsi:type="dcterms:W3CDTF">2019-01-11T22:06:00Z</dcterms:modified>
</cp:coreProperties>
</file>