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40AB" w14:textId="3B144724" w:rsidR="005E78A0" w:rsidRPr="006656D8" w:rsidRDefault="005E78A0" w:rsidP="00C32782">
      <w:pPr>
        <w:tabs>
          <w:tab w:val="left" w:pos="4073"/>
        </w:tabs>
        <w:jc w:val="center"/>
        <w:rPr>
          <w:b/>
        </w:rPr>
      </w:pPr>
      <w:r w:rsidRPr="006656D8">
        <w:rPr>
          <w:b/>
        </w:rPr>
        <w:t>Goals</w:t>
      </w:r>
      <w:r w:rsidR="0068013E">
        <w:rPr>
          <w:b/>
        </w:rPr>
        <w:t xml:space="preserve">, </w:t>
      </w:r>
      <w:r w:rsidRPr="006656D8">
        <w:rPr>
          <w:b/>
        </w:rPr>
        <w:t>Leading Indicators</w:t>
      </w:r>
      <w:r w:rsidR="0068013E">
        <w:rPr>
          <w:b/>
        </w:rPr>
        <w:t>, and Progress</w:t>
      </w:r>
    </w:p>
    <w:p w14:paraId="7FDEB576" w14:textId="66B84955" w:rsidR="00C32782" w:rsidRPr="006656D8" w:rsidRDefault="00C32782" w:rsidP="00C32782">
      <w:pPr>
        <w:tabs>
          <w:tab w:val="left" w:pos="4073"/>
        </w:tabs>
        <w:jc w:val="center"/>
        <w:rPr>
          <w:b/>
        </w:rPr>
      </w:pPr>
      <w:r w:rsidRPr="006656D8">
        <w:rPr>
          <w:b/>
        </w:rPr>
        <w:t xml:space="preserve">Workgroup #3 </w:t>
      </w:r>
      <w:r w:rsidR="003F7367" w:rsidRPr="006656D8">
        <w:rPr>
          <w:b/>
        </w:rPr>
        <w:t xml:space="preserve">Pathway Navigation </w:t>
      </w:r>
    </w:p>
    <w:p w14:paraId="1DE46BCD" w14:textId="60190651" w:rsidR="00C32782" w:rsidRDefault="00C32782" w:rsidP="00C32782">
      <w:pPr>
        <w:tabs>
          <w:tab w:val="left" w:pos="4073"/>
        </w:tabs>
        <w:jc w:val="center"/>
        <w:rPr>
          <w:b/>
        </w:rPr>
      </w:pPr>
      <w:r w:rsidRPr="006656D8">
        <w:rPr>
          <w:b/>
        </w:rPr>
        <w:t xml:space="preserve">Draft </w:t>
      </w:r>
      <w:r w:rsidR="0064441C">
        <w:rPr>
          <w:b/>
        </w:rPr>
        <w:t xml:space="preserve">January </w:t>
      </w:r>
      <w:r w:rsidR="0068013E">
        <w:rPr>
          <w:b/>
        </w:rPr>
        <w:t>9</w:t>
      </w:r>
      <w:r w:rsidR="0064441C">
        <w:rPr>
          <w:b/>
        </w:rPr>
        <w:t>, 2019</w:t>
      </w:r>
      <w:bookmarkStart w:id="0" w:name="_GoBack"/>
      <w:bookmarkEnd w:id="0"/>
    </w:p>
    <w:p w14:paraId="5F085BBB" w14:textId="77777777" w:rsidR="005E78A0" w:rsidRPr="006656D8" w:rsidRDefault="005E78A0" w:rsidP="006B49C7">
      <w:pPr>
        <w:tabs>
          <w:tab w:val="left" w:pos="4073"/>
        </w:tabs>
        <w:jc w:val="center"/>
      </w:pPr>
    </w:p>
    <w:p w14:paraId="5EB400FB" w14:textId="77777777" w:rsidR="00352ED4" w:rsidRPr="006656D8" w:rsidRDefault="008A59D0" w:rsidP="005E78A0">
      <w:pPr>
        <w:tabs>
          <w:tab w:val="left" w:pos="4073"/>
        </w:tabs>
        <w:rPr>
          <w:b/>
        </w:rPr>
      </w:pPr>
      <w:r w:rsidRPr="006656D8">
        <w:rPr>
          <w:b/>
        </w:rPr>
        <w:t>Purpose of the Workgroup, as stated in current version of Workplan</w:t>
      </w:r>
    </w:p>
    <w:p w14:paraId="3A96742D" w14:textId="77777777" w:rsidR="008A59D0" w:rsidRPr="006656D8" w:rsidRDefault="008A59D0" w:rsidP="005E78A0">
      <w:pPr>
        <w:tabs>
          <w:tab w:val="left" w:pos="4073"/>
        </w:tabs>
      </w:pPr>
    </w:p>
    <w:p w14:paraId="38F3B7C4" w14:textId="4B754C8F" w:rsidR="008A59D0" w:rsidRPr="006656D8" w:rsidRDefault="008A59D0" w:rsidP="005E78A0">
      <w:pPr>
        <w:tabs>
          <w:tab w:val="left" w:pos="4073"/>
        </w:tabs>
        <w:rPr>
          <w:rFonts w:cstheme="minorHAnsi"/>
        </w:rPr>
      </w:pPr>
      <w:r w:rsidRPr="006656D8">
        <w:rPr>
          <w:rFonts w:cstheme="minorHAnsi"/>
        </w:rPr>
        <w:t xml:space="preserve">Regionally develop the components of career and </w:t>
      </w:r>
      <w:r w:rsidR="005256B9" w:rsidRPr="006656D8">
        <w:rPr>
          <w:rFonts w:cstheme="minorHAnsi"/>
        </w:rPr>
        <w:t xml:space="preserve">pathway navigation </w:t>
      </w:r>
      <w:r w:rsidRPr="006656D8">
        <w:rPr>
          <w:rFonts w:cstheme="minorHAnsi"/>
        </w:rPr>
        <w:t>that allow students to enter and thrive in the workforce through placement into career pathways, relevant career orientation and assessments, career and education planning and self-directed learning.</w:t>
      </w:r>
      <w:r w:rsidR="005256B9" w:rsidRPr="006656D8">
        <w:rPr>
          <w:rFonts w:cstheme="minorHAnsi"/>
        </w:rPr>
        <w:t xml:space="preserve"> </w:t>
      </w:r>
    </w:p>
    <w:p w14:paraId="6CB85703" w14:textId="77777777" w:rsidR="008A59D0" w:rsidRDefault="008A59D0" w:rsidP="005E78A0">
      <w:pPr>
        <w:tabs>
          <w:tab w:val="left" w:pos="4073"/>
        </w:tabs>
      </w:pPr>
    </w:p>
    <w:p w14:paraId="65E8A8C4" w14:textId="77777777" w:rsidR="00404A45" w:rsidRPr="006656D8" w:rsidRDefault="00404A45" w:rsidP="005E78A0">
      <w:pPr>
        <w:tabs>
          <w:tab w:val="left" w:pos="4073"/>
        </w:tabs>
      </w:pPr>
    </w:p>
    <w:tbl>
      <w:tblPr>
        <w:tblStyle w:val="TableGrid"/>
        <w:tblW w:w="13526" w:type="dxa"/>
        <w:tblLook w:val="04A0" w:firstRow="1" w:lastRow="0" w:firstColumn="1" w:lastColumn="0" w:noHBand="0" w:noVBand="1"/>
      </w:tblPr>
      <w:tblGrid>
        <w:gridCol w:w="3331"/>
        <w:gridCol w:w="6750"/>
        <w:gridCol w:w="3445"/>
      </w:tblGrid>
      <w:tr w:rsidR="00404A45" w:rsidRPr="006656D8" w14:paraId="609109FC" w14:textId="159D89F9" w:rsidTr="00404A45">
        <w:tc>
          <w:tcPr>
            <w:tcW w:w="3331" w:type="dxa"/>
          </w:tcPr>
          <w:p w14:paraId="76EEECB9" w14:textId="77777777" w:rsidR="000E4F08" w:rsidRPr="006656D8" w:rsidRDefault="000E4F08" w:rsidP="00C32782">
            <w:pPr>
              <w:tabs>
                <w:tab w:val="left" w:pos="4073"/>
              </w:tabs>
              <w:rPr>
                <w:b/>
              </w:rPr>
            </w:pPr>
            <w:r w:rsidRPr="006656D8">
              <w:rPr>
                <w:b/>
              </w:rPr>
              <w:t xml:space="preserve">Goals </w:t>
            </w:r>
          </w:p>
          <w:p w14:paraId="46FC5EEE" w14:textId="77777777" w:rsidR="000E4F08" w:rsidRPr="006656D8" w:rsidRDefault="000E4F08" w:rsidP="00E23293">
            <w:pPr>
              <w:tabs>
                <w:tab w:val="left" w:pos="4073"/>
              </w:tabs>
            </w:pPr>
          </w:p>
        </w:tc>
        <w:tc>
          <w:tcPr>
            <w:tcW w:w="6750" w:type="dxa"/>
          </w:tcPr>
          <w:p w14:paraId="5AD2B5B0" w14:textId="016F66A3" w:rsidR="000E4F08" w:rsidRPr="006656D8" w:rsidRDefault="000E4F08" w:rsidP="00E23293">
            <w:pPr>
              <w:tabs>
                <w:tab w:val="left" w:pos="4073"/>
              </w:tabs>
              <w:rPr>
                <w:b/>
              </w:rPr>
            </w:pPr>
            <w:r>
              <w:rPr>
                <w:b/>
              </w:rPr>
              <w:t xml:space="preserve">Possible </w:t>
            </w:r>
            <w:r w:rsidRPr="006656D8">
              <w:rPr>
                <w:b/>
              </w:rPr>
              <w:t>Leading Indicators</w:t>
            </w:r>
          </w:p>
        </w:tc>
        <w:tc>
          <w:tcPr>
            <w:tcW w:w="3445" w:type="dxa"/>
          </w:tcPr>
          <w:p w14:paraId="57C2C795" w14:textId="3698F8D2" w:rsidR="000E4F08" w:rsidRDefault="000E4F08" w:rsidP="00E23293">
            <w:pPr>
              <w:tabs>
                <w:tab w:val="left" w:pos="4073"/>
              </w:tabs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404A45" w:rsidRPr="006656D8" w14:paraId="2C882BAA" w14:textId="666F8CD2" w:rsidTr="00404A45">
        <w:tc>
          <w:tcPr>
            <w:tcW w:w="3331" w:type="dxa"/>
            <w:vMerge w:val="restart"/>
          </w:tcPr>
          <w:p w14:paraId="2796F95A" w14:textId="24C65794" w:rsidR="006B0E36" w:rsidRDefault="006B0E36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Intake:</w:t>
            </w:r>
            <w:r w:rsidRPr="006656D8">
              <w:t xml:space="preserve"> Increase student enrollment in pathways and student utilization of needed academic and other support services available at their college.</w:t>
            </w:r>
          </w:p>
          <w:p w14:paraId="0E3DA224" w14:textId="050C301B" w:rsidR="00404A45" w:rsidRPr="006656D8" w:rsidRDefault="00404A45" w:rsidP="00E23293">
            <w:pPr>
              <w:tabs>
                <w:tab w:val="left" w:pos="4073"/>
              </w:tabs>
            </w:pPr>
          </w:p>
        </w:tc>
        <w:tc>
          <w:tcPr>
            <w:tcW w:w="6750" w:type="dxa"/>
          </w:tcPr>
          <w:p w14:paraId="15A49163" w14:textId="77777777" w:rsidR="006B0E36" w:rsidRDefault="006B0E36" w:rsidP="00146D80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</w:pPr>
            <w:r w:rsidRPr="00EA36E5">
              <w:t xml:space="preserve">Development or adoption of a student intake form, as needed, that captures critical information to support students’ entry into pathways or programs or referral to services. </w:t>
            </w:r>
          </w:p>
          <w:p w14:paraId="6D81EDAE" w14:textId="1B04790C" w:rsidR="002B5365" w:rsidRPr="00EA36E5" w:rsidRDefault="002B5365" w:rsidP="002B5365">
            <w:pPr>
              <w:tabs>
                <w:tab w:val="left" w:pos="4073"/>
              </w:tabs>
            </w:pPr>
          </w:p>
        </w:tc>
        <w:tc>
          <w:tcPr>
            <w:tcW w:w="3445" w:type="dxa"/>
          </w:tcPr>
          <w:p w14:paraId="607A517E" w14:textId="4322D7F5" w:rsidR="006B0E36" w:rsidRPr="00EA36E5" w:rsidRDefault="002B5365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All campuses submitted plans </w:t>
            </w:r>
            <w:r w:rsidR="00241FBB">
              <w:t>that include development or refinement of intake form and processes</w:t>
            </w:r>
          </w:p>
        </w:tc>
      </w:tr>
      <w:tr w:rsidR="00404A45" w:rsidRPr="006656D8" w14:paraId="41DD8CEF" w14:textId="77777777" w:rsidTr="00404A45">
        <w:tc>
          <w:tcPr>
            <w:tcW w:w="3331" w:type="dxa"/>
            <w:vMerge/>
          </w:tcPr>
          <w:p w14:paraId="14F08AF3" w14:textId="77777777" w:rsidR="006B0E36" w:rsidRPr="006656D8" w:rsidRDefault="006B0E36" w:rsidP="00E23293">
            <w:pPr>
              <w:tabs>
                <w:tab w:val="left" w:pos="4073"/>
              </w:tabs>
              <w:rPr>
                <w:b/>
              </w:rPr>
            </w:pPr>
          </w:p>
        </w:tc>
        <w:tc>
          <w:tcPr>
            <w:tcW w:w="6750" w:type="dxa"/>
          </w:tcPr>
          <w:p w14:paraId="6B0F3CC1" w14:textId="488E8E4D" w:rsidR="006B0E36" w:rsidRPr="00EA36E5" w:rsidRDefault="006B0E36" w:rsidP="00146D80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</w:pPr>
            <w:r w:rsidRPr="00EA36E5">
              <w:t>Number of students completing a comprehensive intake process</w:t>
            </w:r>
          </w:p>
        </w:tc>
        <w:tc>
          <w:tcPr>
            <w:tcW w:w="3445" w:type="dxa"/>
          </w:tcPr>
          <w:p w14:paraId="429AA5F5" w14:textId="238A8196" w:rsidR="006B0E36" w:rsidRPr="00EA36E5" w:rsidRDefault="005013BB" w:rsidP="00D27685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404A45" w:rsidRPr="006656D8" w14:paraId="39D5CC7C" w14:textId="4F953C9E" w:rsidTr="00404A45">
        <w:trPr>
          <w:trHeight w:val="1358"/>
        </w:trPr>
        <w:tc>
          <w:tcPr>
            <w:tcW w:w="3331" w:type="dxa"/>
            <w:vMerge w:val="restart"/>
          </w:tcPr>
          <w:p w14:paraId="205979A3" w14:textId="38F80F29" w:rsidR="006B0E36" w:rsidRPr="006656D8" w:rsidRDefault="006B0E36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Orientation:</w:t>
            </w:r>
            <w:r w:rsidRPr="006656D8">
              <w:t xml:space="preserve"> Increase the number of students entering college with knowledge of pathways and services, while facilitating students’ integration into college life.</w:t>
            </w:r>
          </w:p>
        </w:tc>
        <w:tc>
          <w:tcPr>
            <w:tcW w:w="6750" w:type="dxa"/>
          </w:tcPr>
          <w:p w14:paraId="239C2F78" w14:textId="490DA337" w:rsidR="006B0E36" w:rsidRPr="00EA36E5" w:rsidRDefault="006B0E36" w:rsidP="00146D80">
            <w:pPr>
              <w:pStyle w:val="ListParagraph"/>
              <w:numPr>
                <w:ilvl w:val="0"/>
                <w:numId w:val="4"/>
              </w:numPr>
              <w:tabs>
                <w:tab w:val="left" w:pos="4073"/>
              </w:tabs>
            </w:pPr>
            <w:r w:rsidRPr="00EA36E5">
              <w:t xml:space="preserve">Creation of a college orientation program, as needed, that includes career exploration; targeted exposure to pathways, programs, and services; and a face-to-face component, in addition to an online component. </w:t>
            </w:r>
          </w:p>
        </w:tc>
        <w:tc>
          <w:tcPr>
            <w:tcW w:w="3445" w:type="dxa"/>
          </w:tcPr>
          <w:p w14:paraId="2B435E2E" w14:textId="4D94B0DF" w:rsidR="006B0E36" w:rsidRPr="00EA36E5" w:rsidRDefault="00C5600C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All campuses submitted plans that include development or refinement of </w:t>
            </w:r>
            <w:r w:rsidR="0020671F">
              <w:t>orientation</w:t>
            </w:r>
            <w:r>
              <w:t xml:space="preserve"> processes</w:t>
            </w:r>
          </w:p>
        </w:tc>
      </w:tr>
      <w:tr w:rsidR="00404A45" w:rsidRPr="006656D8" w14:paraId="49B8E99A" w14:textId="77777777" w:rsidTr="00404A45">
        <w:trPr>
          <w:trHeight w:val="1151"/>
        </w:trPr>
        <w:tc>
          <w:tcPr>
            <w:tcW w:w="3331" w:type="dxa"/>
            <w:vMerge/>
          </w:tcPr>
          <w:p w14:paraId="27E9D40D" w14:textId="77777777" w:rsidR="006B0E36" w:rsidRPr="006656D8" w:rsidRDefault="006B0E36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6750" w:type="dxa"/>
          </w:tcPr>
          <w:p w14:paraId="5078C732" w14:textId="73DF8748" w:rsidR="006B0E36" w:rsidRPr="00EA36E5" w:rsidRDefault="006B0E36" w:rsidP="00146D80">
            <w:pPr>
              <w:pStyle w:val="ListParagraph"/>
              <w:numPr>
                <w:ilvl w:val="0"/>
                <w:numId w:val="4"/>
              </w:numPr>
              <w:tabs>
                <w:tab w:val="left" w:pos="4073"/>
              </w:tabs>
            </w:pPr>
            <w:r w:rsidRPr="00EA36E5">
              <w:t>Number of students participating in orientation programs that include career exploration, targeted exposure to pathways, programs, and services; and a face-to-face component, in addition to an online component.</w:t>
            </w:r>
          </w:p>
        </w:tc>
        <w:tc>
          <w:tcPr>
            <w:tcW w:w="3445" w:type="dxa"/>
          </w:tcPr>
          <w:p w14:paraId="447EA626" w14:textId="147BA22D" w:rsidR="006B0E36" w:rsidRPr="00EA36E5" w:rsidRDefault="005013BB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B0E36" w:rsidRPr="006656D8" w14:paraId="7181E411" w14:textId="5280C9F3" w:rsidTr="00404A45">
        <w:tc>
          <w:tcPr>
            <w:tcW w:w="3331" w:type="dxa"/>
            <w:vMerge w:val="restart"/>
          </w:tcPr>
          <w:p w14:paraId="3738FBB6" w14:textId="32942EC8" w:rsidR="006B0E36" w:rsidRPr="006656D8" w:rsidRDefault="006B0E36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Career planning:</w:t>
            </w:r>
            <w:r w:rsidRPr="006656D8">
              <w:t xml:space="preserve"> Increase the number of students’ knowledgeable about their own interests and careers goals, to support effective education planning and long-term success. </w:t>
            </w:r>
          </w:p>
        </w:tc>
        <w:tc>
          <w:tcPr>
            <w:tcW w:w="6750" w:type="dxa"/>
          </w:tcPr>
          <w:p w14:paraId="37363818" w14:textId="640978E7" w:rsidR="006B0E36" w:rsidRPr="00EA36E5" w:rsidRDefault="006B0E36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 xml:space="preserve">Number of students completing career exploration activities, including career planning sessions, before education planning </w:t>
            </w:r>
          </w:p>
          <w:p w14:paraId="207632A7" w14:textId="5EB81E0D" w:rsidR="006B0E36" w:rsidRPr="00EA36E5" w:rsidRDefault="006B0E36" w:rsidP="006B0E36">
            <w:pPr>
              <w:tabs>
                <w:tab w:val="left" w:pos="4073"/>
              </w:tabs>
            </w:pPr>
          </w:p>
        </w:tc>
        <w:tc>
          <w:tcPr>
            <w:tcW w:w="3445" w:type="dxa"/>
          </w:tcPr>
          <w:p w14:paraId="31D054CE" w14:textId="0E0CF4C0" w:rsidR="006B0E36" w:rsidRPr="00EA36E5" w:rsidRDefault="00C5600C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All campuses submitted plans that include development or refinement of </w:t>
            </w:r>
            <w:r w:rsidR="0020671F">
              <w:t>career planning</w:t>
            </w:r>
            <w:r>
              <w:t xml:space="preserve"> processes</w:t>
            </w:r>
          </w:p>
        </w:tc>
      </w:tr>
      <w:tr w:rsidR="006B0E36" w:rsidRPr="006656D8" w14:paraId="3917D1E2" w14:textId="77777777" w:rsidTr="00404A45">
        <w:tc>
          <w:tcPr>
            <w:tcW w:w="3331" w:type="dxa"/>
            <w:vMerge/>
          </w:tcPr>
          <w:p w14:paraId="56613A8C" w14:textId="77777777" w:rsidR="006B0E36" w:rsidRPr="006656D8" w:rsidRDefault="006B0E36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6750" w:type="dxa"/>
          </w:tcPr>
          <w:p w14:paraId="6CCE8DBA" w14:textId="77777777" w:rsidR="006B0E36" w:rsidRDefault="006B0E36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initial counseling sessions</w:t>
            </w:r>
          </w:p>
          <w:p w14:paraId="6B0FEF63" w14:textId="72C15F01" w:rsidR="00404A45" w:rsidRPr="00EA36E5" w:rsidRDefault="00404A45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3445" w:type="dxa"/>
          </w:tcPr>
          <w:p w14:paraId="5D5FA3B2" w14:textId="0CABFAF8" w:rsidR="006B0E36" w:rsidRPr="00EA36E5" w:rsidRDefault="005013BB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B0E36" w:rsidRPr="006656D8" w14:paraId="06854313" w14:textId="77777777" w:rsidTr="00404A45">
        <w:tc>
          <w:tcPr>
            <w:tcW w:w="3331" w:type="dxa"/>
            <w:vMerge/>
          </w:tcPr>
          <w:p w14:paraId="5D79C061" w14:textId="77777777" w:rsidR="006B0E36" w:rsidRPr="006656D8" w:rsidRDefault="006B0E36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6750" w:type="dxa"/>
          </w:tcPr>
          <w:p w14:paraId="4B1FFDF3" w14:textId="77777777" w:rsidR="006B0E36" w:rsidRDefault="006B0E36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follow-up sessions</w:t>
            </w:r>
          </w:p>
          <w:p w14:paraId="22D637FC" w14:textId="6BFFDEB6" w:rsidR="00404A45" w:rsidRPr="00EA36E5" w:rsidRDefault="00404A45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3445" w:type="dxa"/>
          </w:tcPr>
          <w:p w14:paraId="0F2E83DC" w14:textId="51AD5C79" w:rsidR="006B0E36" w:rsidRPr="00EA36E5" w:rsidRDefault="005013BB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>To be collected July 2019</w:t>
            </w:r>
          </w:p>
        </w:tc>
      </w:tr>
      <w:tr w:rsidR="006B0E36" w:rsidRPr="006656D8" w14:paraId="2EE92E15" w14:textId="77777777" w:rsidTr="00404A45">
        <w:tc>
          <w:tcPr>
            <w:tcW w:w="3331" w:type="dxa"/>
            <w:vMerge/>
          </w:tcPr>
          <w:p w14:paraId="5C3E204A" w14:textId="77777777" w:rsidR="006B0E36" w:rsidRPr="006656D8" w:rsidRDefault="006B0E36" w:rsidP="00146D80">
            <w:pPr>
              <w:tabs>
                <w:tab w:val="left" w:pos="4073"/>
              </w:tabs>
              <w:ind w:left="242" w:hanging="242"/>
              <w:rPr>
                <w:b/>
              </w:rPr>
            </w:pPr>
          </w:p>
        </w:tc>
        <w:tc>
          <w:tcPr>
            <w:tcW w:w="6750" w:type="dxa"/>
          </w:tcPr>
          <w:p w14:paraId="255E23FA" w14:textId="77777777" w:rsidR="006B0E36" w:rsidRDefault="006B0E36" w:rsidP="00146D80">
            <w:pPr>
              <w:pStyle w:val="ListParagraph"/>
              <w:numPr>
                <w:ilvl w:val="0"/>
                <w:numId w:val="5"/>
              </w:numPr>
              <w:tabs>
                <w:tab w:val="left" w:pos="4073"/>
              </w:tabs>
            </w:pPr>
            <w:r w:rsidRPr="00EA36E5">
              <w:t>Number of students attending Education Plan Update sessions</w:t>
            </w:r>
          </w:p>
          <w:p w14:paraId="5669AF97" w14:textId="257E09DA" w:rsidR="00404A45" w:rsidRPr="00EA36E5" w:rsidRDefault="00404A45" w:rsidP="00404A45">
            <w:pPr>
              <w:pStyle w:val="ListParagraph"/>
              <w:tabs>
                <w:tab w:val="left" w:pos="4073"/>
              </w:tabs>
              <w:ind w:left="341"/>
            </w:pPr>
          </w:p>
        </w:tc>
        <w:tc>
          <w:tcPr>
            <w:tcW w:w="3445" w:type="dxa"/>
          </w:tcPr>
          <w:p w14:paraId="2F822599" w14:textId="501C95C4" w:rsidR="006B0E36" w:rsidRPr="00EA36E5" w:rsidRDefault="005013BB" w:rsidP="00C71931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lastRenderedPageBreak/>
              <w:t>To be collected July 2019</w:t>
            </w:r>
          </w:p>
        </w:tc>
      </w:tr>
      <w:tr w:rsidR="00404A45" w:rsidRPr="008A59D0" w14:paraId="4DCD934A" w14:textId="20524166" w:rsidTr="00404A45">
        <w:tc>
          <w:tcPr>
            <w:tcW w:w="3331" w:type="dxa"/>
          </w:tcPr>
          <w:p w14:paraId="1F17513F" w14:textId="38D02E6A" w:rsidR="000E4F08" w:rsidRPr="006656D8" w:rsidRDefault="000E4F08" w:rsidP="00146D80">
            <w:pPr>
              <w:pStyle w:val="ListParagraph"/>
              <w:numPr>
                <w:ilvl w:val="0"/>
                <w:numId w:val="2"/>
              </w:numPr>
              <w:tabs>
                <w:tab w:val="left" w:pos="4073"/>
              </w:tabs>
              <w:ind w:left="242" w:hanging="242"/>
            </w:pPr>
            <w:r w:rsidRPr="00146D80">
              <w:rPr>
                <w:b/>
              </w:rPr>
              <w:t>Professional Development:</w:t>
            </w:r>
            <w:r>
              <w:t xml:space="preserve"> Create a framework that will allow the region to strategically offer professional development opportunities based on identified needs at the colleges. </w:t>
            </w:r>
          </w:p>
        </w:tc>
        <w:tc>
          <w:tcPr>
            <w:tcW w:w="6750" w:type="dxa"/>
          </w:tcPr>
          <w:p w14:paraId="13A576DC" w14:textId="0624B2C8" w:rsidR="000E4F08" w:rsidRPr="00EA36E5" w:rsidRDefault="000E4F08" w:rsidP="00146D80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</w:pPr>
            <w:r w:rsidRPr="00EA36E5">
              <w:t xml:space="preserve">Number of </w:t>
            </w:r>
            <w:r>
              <w:t xml:space="preserve">professionals </w:t>
            </w:r>
            <w:r w:rsidRPr="00EA36E5">
              <w:t>participating in professional development to address needs identified in self-assessments and consultations</w:t>
            </w:r>
          </w:p>
        </w:tc>
        <w:tc>
          <w:tcPr>
            <w:tcW w:w="3445" w:type="dxa"/>
          </w:tcPr>
          <w:p w14:paraId="0EA3A260" w14:textId="5FC19867" w:rsidR="000E4F08" w:rsidRPr="00EA36E5" w:rsidRDefault="00C5600C" w:rsidP="006656D8">
            <w:pPr>
              <w:pStyle w:val="ListParagraph"/>
              <w:numPr>
                <w:ilvl w:val="0"/>
                <w:numId w:val="1"/>
              </w:numPr>
              <w:tabs>
                <w:tab w:val="left" w:pos="4073"/>
              </w:tabs>
              <w:ind w:left="341"/>
            </w:pPr>
            <w:r>
              <w:t xml:space="preserve">All campuses submitted plans that include </w:t>
            </w:r>
            <w:r w:rsidR="005013BB">
              <w:t xml:space="preserve">pans for professional </w:t>
            </w:r>
            <w:proofErr w:type="gramStart"/>
            <w:r>
              <w:t xml:space="preserve">development </w:t>
            </w:r>
            <w:r w:rsidR="005013BB">
              <w:t>;</w:t>
            </w:r>
            <w:proofErr w:type="gramEnd"/>
            <w:r w:rsidR="005013BB">
              <w:t xml:space="preserve"> </w:t>
            </w:r>
            <w:r w:rsidR="005013BB">
              <w:t>local PD plans currently being examined</w:t>
            </w:r>
            <w:r w:rsidR="005013BB">
              <w:t>.  First Community of Practice (</w:t>
            </w:r>
            <w:proofErr w:type="spellStart"/>
            <w:r w:rsidR="005013BB">
              <w:t>CoP</w:t>
            </w:r>
            <w:proofErr w:type="spellEnd"/>
            <w:r w:rsidR="005013BB">
              <w:t xml:space="preserve">) convening scheduled for 2.25.19 where local PD needs to be presented and </w:t>
            </w:r>
            <w:r w:rsidR="0068013E">
              <w:t xml:space="preserve">where </w:t>
            </w:r>
            <w:r w:rsidR="005013BB">
              <w:t xml:space="preserve">regional </w:t>
            </w:r>
            <w:r w:rsidR="0068013E">
              <w:t xml:space="preserve">approach to be determined. </w:t>
            </w:r>
          </w:p>
        </w:tc>
      </w:tr>
    </w:tbl>
    <w:p w14:paraId="3C9A8636" w14:textId="3760B827" w:rsidR="005A125D" w:rsidRDefault="00257F61"/>
    <w:sectPr w:rsidR="005A125D" w:rsidSect="00C851AF">
      <w:pgSz w:w="15840" w:h="12240" w:orient="landscape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0FD"/>
    <w:multiLevelType w:val="hybridMultilevel"/>
    <w:tmpl w:val="0FC43A24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538"/>
    <w:multiLevelType w:val="hybridMultilevel"/>
    <w:tmpl w:val="E5522A46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41E"/>
    <w:multiLevelType w:val="hybridMultilevel"/>
    <w:tmpl w:val="6250EC7E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F7A"/>
    <w:multiLevelType w:val="hybridMultilevel"/>
    <w:tmpl w:val="F80A1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601E"/>
    <w:multiLevelType w:val="hybridMultilevel"/>
    <w:tmpl w:val="7B6EC582"/>
    <w:lvl w:ilvl="0" w:tplc="91CE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B51DA"/>
    <w:multiLevelType w:val="hybridMultilevel"/>
    <w:tmpl w:val="DE087948"/>
    <w:lvl w:ilvl="0" w:tplc="91CE0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A0"/>
    <w:rsid w:val="00093307"/>
    <w:rsid w:val="000E4F08"/>
    <w:rsid w:val="00105D3E"/>
    <w:rsid w:val="00131C35"/>
    <w:rsid w:val="00145ABC"/>
    <w:rsid w:val="00146D80"/>
    <w:rsid w:val="001513CE"/>
    <w:rsid w:val="001774D5"/>
    <w:rsid w:val="001A5E9A"/>
    <w:rsid w:val="001C03D8"/>
    <w:rsid w:val="0020671F"/>
    <w:rsid w:val="00241FBB"/>
    <w:rsid w:val="0025245E"/>
    <w:rsid w:val="00257F61"/>
    <w:rsid w:val="002836C2"/>
    <w:rsid w:val="00284255"/>
    <w:rsid w:val="002B5365"/>
    <w:rsid w:val="00307B5B"/>
    <w:rsid w:val="003269C1"/>
    <w:rsid w:val="00352ED4"/>
    <w:rsid w:val="003A79FB"/>
    <w:rsid w:val="003E675A"/>
    <w:rsid w:val="003F59F4"/>
    <w:rsid w:val="003F7367"/>
    <w:rsid w:val="00404A45"/>
    <w:rsid w:val="004F6A49"/>
    <w:rsid w:val="005013BB"/>
    <w:rsid w:val="005256B9"/>
    <w:rsid w:val="005331C3"/>
    <w:rsid w:val="00553AD4"/>
    <w:rsid w:val="00556CA5"/>
    <w:rsid w:val="005C0A5E"/>
    <w:rsid w:val="005E78A0"/>
    <w:rsid w:val="005F0C86"/>
    <w:rsid w:val="0060008B"/>
    <w:rsid w:val="006312AA"/>
    <w:rsid w:val="006405DE"/>
    <w:rsid w:val="0064441C"/>
    <w:rsid w:val="006656D8"/>
    <w:rsid w:val="0068013E"/>
    <w:rsid w:val="006B0E36"/>
    <w:rsid w:val="006B49C7"/>
    <w:rsid w:val="007A5C1F"/>
    <w:rsid w:val="007D3C68"/>
    <w:rsid w:val="008A59D0"/>
    <w:rsid w:val="008D794A"/>
    <w:rsid w:val="009E586D"/>
    <w:rsid w:val="00A54C8D"/>
    <w:rsid w:val="00A7175F"/>
    <w:rsid w:val="00AD3C88"/>
    <w:rsid w:val="00B230A8"/>
    <w:rsid w:val="00B734B6"/>
    <w:rsid w:val="00BE1D18"/>
    <w:rsid w:val="00C0528B"/>
    <w:rsid w:val="00C32782"/>
    <w:rsid w:val="00C5600C"/>
    <w:rsid w:val="00C71931"/>
    <w:rsid w:val="00C851AF"/>
    <w:rsid w:val="00CD5123"/>
    <w:rsid w:val="00D27685"/>
    <w:rsid w:val="00D745DA"/>
    <w:rsid w:val="00DF05E3"/>
    <w:rsid w:val="00DF3BA1"/>
    <w:rsid w:val="00E10093"/>
    <w:rsid w:val="00E17CE8"/>
    <w:rsid w:val="00E40460"/>
    <w:rsid w:val="00E41880"/>
    <w:rsid w:val="00EA36E5"/>
    <w:rsid w:val="00FC2433"/>
    <w:rsid w:val="00FC7497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080B"/>
  <w14:defaultImageDpi w14:val="32767"/>
  <w15:chartTrackingRefBased/>
  <w15:docId w15:val="{8E0EEAA5-3D68-414A-A249-6DD43FA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8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9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E74F-EAD1-D647-B88B-4881C8E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dcterms:created xsi:type="dcterms:W3CDTF">2019-01-09T19:30:00Z</dcterms:created>
  <dcterms:modified xsi:type="dcterms:W3CDTF">2019-01-09T19:30:00Z</dcterms:modified>
</cp:coreProperties>
</file>