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FD20" w14:textId="308654AE" w:rsidR="0007650D" w:rsidRDefault="0007650D" w:rsidP="00A85ED4">
      <w:pPr>
        <w:jc w:val="center"/>
        <w:rPr>
          <w:rFonts w:ascii="Century Gothic" w:eastAsia="Times New Roman" w:hAnsi="Century Gothic" w:cs="Times New Roman"/>
          <w:b/>
          <w:color w:val="1F497D"/>
          <w:sz w:val="22"/>
          <w:szCs w:val="22"/>
        </w:rPr>
      </w:pP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 xml:space="preserve">Workgroup 4 </w:t>
      </w:r>
      <w:r w:rsidR="007F43A2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 xml:space="preserve">Goals, </w:t>
      </w:r>
      <w:r w:rsidRPr="0007650D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 xml:space="preserve">Leading </w:t>
      </w: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I</w:t>
      </w:r>
      <w:r w:rsidRPr="0007650D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ndicators</w:t>
      </w:r>
      <w:r w:rsidR="007F43A2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, Data Collection Method, Progress</w:t>
      </w:r>
    </w:p>
    <w:p w14:paraId="5DFE93DB" w14:textId="77777777" w:rsidR="00A85ED4" w:rsidRPr="00A85ED4" w:rsidRDefault="00A85ED4" w:rsidP="00A85ED4">
      <w:pPr>
        <w:jc w:val="center"/>
        <w:rPr>
          <w:rFonts w:ascii="Century Gothic" w:eastAsia="Times New Roman" w:hAnsi="Century Gothic" w:cs="Times New Roman"/>
          <w:b/>
          <w:color w:val="1F497D"/>
          <w:sz w:val="16"/>
          <w:szCs w:val="16"/>
        </w:rPr>
      </w:pPr>
    </w:p>
    <w:p w14:paraId="43CC7C10" w14:textId="27741029" w:rsidR="00745247" w:rsidRDefault="006232EB" w:rsidP="00A85ED4">
      <w:pPr>
        <w:jc w:val="center"/>
        <w:rPr>
          <w:rFonts w:ascii="Century Gothic" w:eastAsia="Times New Roman" w:hAnsi="Century Gothic" w:cs="Times New Roman"/>
          <w:color w:val="1F497D"/>
          <w:sz w:val="22"/>
          <w:szCs w:val="22"/>
        </w:rPr>
      </w:pPr>
      <w:r>
        <w:rPr>
          <w:rFonts w:ascii="Century Gothic" w:eastAsia="Times New Roman" w:hAnsi="Century Gothic" w:cs="Times New Roman"/>
          <w:color w:val="1F497D"/>
          <w:sz w:val="22"/>
          <w:szCs w:val="22"/>
        </w:rPr>
        <w:t>As of</w:t>
      </w:r>
      <w:r w:rsidR="00745247">
        <w:rPr>
          <w:rFonts w:ascii="Century Gothic" w:eastAsia="Times New Roman" w:hAnsi="Century Gothic" w:cs="Times New Roman"/>
          <w:color w:val="1F497D"/>
          <w:sz w:val="22"/>
          <w:szCs w:val="22"/>
        </w:rPr>
        <w:t xml:space="preserve"> </w:t>
      </w:r>
      <w:r w:rsidR="007F43A2">
        <w:rPr>
          <w:rFonts w:ascii="Century Gothic" w:eastAsia="Times New Roman" w:hAnsi="Century Gothic" w:cs="Times New Roman"/>
          <w:color w:val="1F497D"/>
          <w:sz w:val="22"/>
          <w:szCs w:val="22"/>
        </w:rPr>
        <w:t>1.15.19</w:t>
      </w:r>
      <w:r w:rsidR="00745247">
        <w:rPr>
          <w:rFonts w:ascii="Century Gothic" w:eastAsia="Times New Roman" w:hAnsi="Century Gothic" w:cs="Times New Roman"/>
          <w:color w:val="1F497D"/>
          <w:sz w:val="22"/>
          <w:szCs w:val="22"/>
        </w:rPr>
        <w:t xml:space="preserve"> </w:t>
      </w:r>
    </w:p>
    <w:p w14:paraId="33770B70" w14:textId="77777777" w:rsidR="00A85ED4" w:rsidRDefault="00A85ED4" w:rsidP="0007650D">
      <w:pPr>
        <w:rPr>
          <w:rFonts w:ascii="Century Gothic" w:eastAsia="Times New Roman" w:hAnsi="Century Gothic" w:cs="Times New Roman"/>
          <w:color w:val="1F497D"/>
          <w:sz w:val="20"/>
          <w:szCs w:val="20"/>
        </w:rPr>
      </w:pPr>
    </w:p>
    <w:p w14:paraId="78FE8A85" w14:textId="77777777" w:rsidR="008153CF" w:rsidRPr="00466B15" w:rsidRDefault="008153CF" w:rsidP="0007650D">
      <w:pPr>
        <w:rPr>
          <w:rFonts w:ascii="Century Gothic" w:eastAsia="Times New Roman" w:hAnsi="Century Gothic" w:cs="Times New Roman"/>
          <w:b/>
          <w:color w:val="1F497D"/>
          <w:sz w:val="20"/>
          <w:szCs w:val="20"/>
        </w:rPr>
      </w:pPr>
      <w:r w:rsidRPr="00466B15">
        <w:rPr>
          <w:rFonts w:ascii="Century Gothic" w:eastAsia="Times New Roman" w:hAnsi="Century Gothic" w:cs="Times New Roman"/>
          <w:b/>
          <w:color w:val="1F497D"/>
          <w:sz w:val="20"/>
          <w:szCs w:val="20"/>
        </w:rPr>
        <w:t>Definitions:</w:t>
      </w:r>
    </w:p>
    <w:p w14:paraId="5815116B" w14:textId="77777777" w:rsidR="008153CF" w:rsidRPr="00466B15" w:rsidRDefault="008153CF" w:rsidP="00466B15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WBL:  experiences that promote career exploration and </w:t>
      </w:r>
      <w:r w:rsidR="00B36199"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hands-on learning</w:t>
      </w:r>
      <w:r w:rsidR="00466B15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through direct engagement with employers</w:t>
      </w:r>
      <w:r w:rsidR="00B36199"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; productivity is secondary to learning.</w:t>
      </w:r>
    </w:p>
    <w:p w14:paraId="3B4A0E83" w14:textId="77777777" w:rsidR="00B36199" w:rsidRPr="00466B15" w:rsidRDefault="00B36199" w:rsidP="00466B15">
      <w:pPr>
        <w:pStyle w:val="ListParagraph"/>
        <w:numPr>
          <w:ilvl w:val="0"/>
          <w:numId w:val="6"/>
        </w:numPr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Job</w:t>
      </w:r>
      <w:proofErr w:type="gramStart"/>
      <w:r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:  </w:t>
      </w:r>
      <w:r w:rsidR="00466B15"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“</w:t>
      </w:r>
      <w:proofErr w:type="gramEnd"/>
      <w:r w:rsidR="00466B15"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a regular remunerative position”; </w:t>
      </w:r>
      <w:r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learning is secondary to productivity</w:t>
      </w:r>
      <w:r w:rsid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.</w:t>
      </w:r>
      <w:r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</w:t>
      </w:r>
    </w:p>
    <w:p w14:paraId="231B8CDC" w14:textId="2EC9F8A6" w:rsidR="00466B15" w:rsidRPr="00466B15" w:rsidRDefault="00466B15" w:rsidP="00466B15">
      <w:pPr>
        <w:rPr>
          <w:rFonts w:ascii="Century Gothic" w:eastAsia="Times New Roman" w:hAnsi="Century Gothic" w:cs="Times New Roman"/>
          <w:color w:val="1F497D"/>
          <w:sz w:val="20"/>
          <w:szCs w:val="20"/>
        </w:rPr>
      </w:pPr>
      <w:r w:rsidRPr="00466B15">
        <w:rPr>
          <w:rFonts w:ascii="Century Gothic" w:eastAsia="Times New Roman" w:hAnsi="Century Gothic" w:cs="Times New Roman"/>
          <w:color w:val="1F497D"/>
          <w:sz w:val="20"/>
          <w:szCs w:val="20"/>
        </w:rPr>
        <w:t>Some positions offer both learning and pay; group calibration will be required to determine how these are counted.</w:t>
      </w:r>
      <w:r w:rsidR="00F41401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</w:t>
      </w:r>
      <w:r w:rsidR="002129C9">
        <w:rPr>
          <w:rFonts w:ascii="Century Gothic" w:eastAsia="Times New Roman" w:hAnsi="Century Gothic" w:cs="Times New Roman"/>
          <w:color w:val="1F497D"/>
          <w:sz w:val="20"/>
          <w:szCs w:val="20"/>
        </w:rPr>
        <w:t>Both</w:t>
      </w:r>
      <w:r w:rsidR="00F41401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part-time vs. full-time jobs</w:t>
      </w:r>
      <w:r w:rsidR="002129C9">
        <w:rPr>
          <w:rFonts w:ascii="Century Gothic" w:eastAsia="Times New Roman" w:hAnsi="Century Gothic" w:cs="Times New Roman"/>
          <w:color w:val="1F497D"/>
          <w:sz w:val="20"/>
          <w:szCs w:val="20"/>
        </w:rPr>
        <w:t xml:space="preserve"> will be counted.</w:t>
      </w:r>
    </w:p>
    <w:p w14:paraId="72F7A285" w14:textId="77777777" w:rsidR="0007650D" w:rsidRDefault="0007650D" w:rsidP="0007650D">
      <w:pPr>
        <w:rPr>
          <w:rFonts w:ascii="Calibri" w:eastAsia="Times New Roman" w:hAnsi="Calibri" w:cs="Times New Roman"/>
          <w:color w:val="1F497D"/>
          <w:sz w:val="22"/>
          <w:szCs w:val="22"/>
        </w:rPr>
      </w:pPr>
    </w:p>
    <w:p w14:paraId="52FD1AFF" w14:textId="70747F2C" w:rsidR="00C521F5" w:rsidRPr="00543908" w:rsidRDefault="00A85ED4" w:rsidP="00C521F5">
      <w:pPr>
        <w:rPr>
          <w:rFonts w:ascii="Century Gothic" w:eastAsia="Times New Roman" w:hAnsi="Century Gothic" w:cs="Times New Roman"/>
          <w:b/>
          <w:color w:val="1F497D"/>
          <w:sz w:val="22"/>
          <w:szCs w:val="22"/>
        </w:rPr>
      </w:pPr>
      <w:r w:rsidRPr="00A85ED4">
        <w:rPr>
          <w:rFonts w:ascii="Century Gothic" w:eastAsia="Times New Roman" w:hAnsi="Century Gothic" w:cs="Times New Roman"/>
          <w:b/>
          <w:color w:val="1F497D"/>
          <w:sz w:val="22"/>
          <w:szCs w:val="22"/>
        </w:rPr>
        <w:t>Indicators</w:t>
      </w:r>
    </w:p>
    <w:p w14:paraId="7F7DEB61" w14:textId="1CBBF255" w:rsidR="00C521F5" w:rsidRDefault="00C521F5" w:rsidP="00C521F5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3420"/>
        <w:gridCol w:w="5130"/>
        <w:gridCol w:w="2610"/>
        <w:gridCol w:w="3150"/>
      </w:tblGrid>
      <w:tr w:rsidR="002C0111" w:rsidRPr="009158EE" w14:paraId="41A8AA56" w14:textId="09C48424" w:rsidTr="007F43A2">
        <w:tc>
          <w:tcPr>
            <w:tcW w:w="3420" w:type="dxa"/>
          </w:tcPr>
          <w:p w14:paraId="34CD2763" w14:textId="45CDEFC5" w:rsidR="002C0111" w:rsidRPr="009158EE" w:rsidRDefault="002C0111" w:rsidP="002C0111">
            <w:pPr>
              <w:ind w:left="-21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Goals</w:t>
            </w:r>
          </w:p>
        </w:tc>
        <w:tc>
          <w:tcPr>
            <w:tcW w:w="5130" w:type="dxa"/>
          </w:tcPr>
          <w:p w14:paraId="12024C54" w14:textId="7BE5AA8F" w:rsidR="002C0111" w:rsidRPr="009158EE" w:rsidRDefault="002C0111" w:rsidP="002C0111">
            <w:pPr>
              <w:ind w:left="-21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Leading Indicator</w:t>
            </w:r>
          </w:p>
        </w:tc>
        <w:tc>
          <w:tcPr>
            <w:tcW w:w="2610" w:type="dxa"/>
          </w:tcPr>
          <w:p w14:paraId="7C984E9B" w14:textId="28975CF0" w:rsidR="002C0111" w:rsidRDefault="002C0111" w:rsidP="002C0111">
            <w:pPr>
              <w:ind w:left="-21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Data Collection Method</w:t>
            </w:r>
          </w:p>
        </w:tc>
        <w:tc>
          <w:tcPr>
            <w:tcW w:w="3150" w:type="dxa"/>
          </w:tcPr>
          <w:p w14:paraId="530E1AA4" w14:textId="2D99B3ED" w:rsidR="002C0111" w:rsidRPr="009158EE" w:rsidRDefault="002C0111" w:rsidP="002C0111">
            <w:pPr>
              <w:ind w:left="-21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 xml:space="preserve"> Progress</w:t>
            </w:r>
          </w:p>
        </w:tc>
      </w:tr>
      <w:tr w:rsidR="002C0111" w:rsidRPr="00C521F5" w14:paraId="606B964D" w14:textId="77777777" w:rsidTr="007F43A2">
        <w:tc>
          <w:tcPr>
            <w:tcW w:w="3420" w:type="dxa"/>
          </w:tcPr>
          <w:p w14:paraId="77E04F52" w14:textId="7D14C185" w:rsidR="002C0111" w:rsidRDefault="002C0111" w:rsidP="002C0111">
            <w:pPr>
              <w:pStyle w:val="ListParagraph"/>
              <w:numPr>
                <w:ilvl w:val="0"/>
                <w:numId w:val="7"/>
              </w:numPr>
              <w:ind w:left="339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Assess work-based learning opportunities and 21</w:t>
            </w:r>
            <w:r w:rsidRPr="0054699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century employability skills currently used in SDIC community colleges.</w:t>
            </w:r>
          </w:p>
        </w:tc>
        <w:tc>
          <w:tcPr>
            <w:tcW w:w="5130" w:type="dxa"/>
          </w:tcPr>
          <w:p w14:paraId="734FEC81" w14:textId="571CE9CC" w:rsidR="002C0111" w:rsidRPr="0054699F" w:rsidRDefault="002C0111" w:rsidP="002C0111">
            <w:pPr>
              <w:pStyle w:val="ListParagraph"/>
              <w:numPr>
                <w:ilvl w:val="0"/>
                <w:numId w:val="8"/>
              </w:numPr>
              <w:ind w:left="438" w:hanging="27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Percent of faculty participating in WBL assessment.</w:t>
            </w:r>
          </w:p>
        </w:tc>
        <w:tc>
          <w:tcPr>
            <w:tcW w:w="2610" w:type="dxa"/>
          </w:tcPr>
          <w:p w14:paraId="4D19B9E5" w14:textId="40F49271" w:rsidR="002C0111" w:rsidRPr="00D5298D" w:rsidRDefault="002C0111" w:rsidP="002C0111">
            <w:pPr>
              <w:ind w:left="-28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C</w:t>
            </w: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ounted from the survey result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s. (Number, not percent)</w:t>
            </w:r>
          </w:p>
        </w:tc>
        <w:tc>
          <w:tcPr>
            <w:tcW w:w="3150" w:type="dxa"/>
          </w:tcPr>
          <w:p w14:paraId="5C310A78" w14:textId="7A0C8365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D5298D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 xml:space="preserve">377 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faculty responses to WBL assessment</w:t>
            </w:r>
          </w:p>
        </w:tc>
      </w:tr>
      <w:tr w:rsidR="002C0111" w:rsidRPr="00C521F5" w14:paraId="79CC8091" w14:textId="5F20DCF1" w:rsidTr="007F43A2">
        <w:tc>
          <w:tcPr>
            <w:tcW w:w="3420" w:type="dxa"/>
            <w:vMerge w:val="restart"/>
          </w:tcPr>
          <w:p w14:paraId="116C8108" w14:textId="31BC0EC9" w:rsidR="002C0111" w:rsidRPr="009158EE" w:rsidRDefault="002C0111" w:rsidP="002C0111">
            <w:pPr>
              <w:pStyle w:val="ListParagraph"/>
              <w:numPr>
                <w:ilvl w:val="0"/>
                <w:numId w:val="7"/>
              </w:numPr>
              <w:ind w:left="339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Build an infrastructure to support expanded work-based learning opportunities across the region.</w:t>
            </w:r>
          </w:p>
        </w:tc>
        <w:tc>
          <w:tcPr>
            <w:tcW w:w="5130" w:type="dxa"/>
          </w:tcPr>
          <w:p w14:paraId="4FF4B4E4" w14:textId="15D2DB1B" w:rsidR="002C0111" w:rsidRPr="0054699F" w:rsidRDefault="002C0111" w:rsidP="002C0111">
            <w:pPr>
              <w:pStyle w:val="ListParagraph"/>
              <w:numPr>
                <w:ilvl w:val="0"/>
                <w:numId w:val="8"/>
              </w:numPr>
              <w:ind w:left="438" w:hanging="27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Percent of colleges completing hiring processes for full-time, contract job placement case manager.</w:t>
            </w:r>
          </w:p>
        </w:tc>
        <w:tc>
          <w:tcPr>
            <w:tcW w:w="2610" w:type="dxa"/>
          </w:tcPr>
          <w:p w14:paraId="0823728D" w14:textId="01FBEC21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Results of hiring process reported back to WG 4</w:t>
            </w:r>
          </w:p>
        </w:tc>
        <w:tc>
          <w:tcPr>
            <w:tcW w:w="3150" w:type="dxa"/>
          </w:tcPr>
          <w:p w14:paraId="0AC901D0" w14:textId="6EFD57F0" w:rsidR="002C0111" w:rsidRPr="009158EE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Will get this Friday</w:t>
            </w:r>
          </w:p>
        </w:tc>
      </w:tr>
      <w:tr w:rsidR="002C0111" w:rsidRPr="00C521F5" w14:paraId="302779BD" w14:textId="5C57507E" w:rsidTr="007F43A2">
        <w:tc>
          <w:tcPr>
            <w:tcW w:w="3420" w:type="dxa"/>
            <w:vMerge/>
          </w:tcPr>
          <w:p w14:paraId="09AE81C6" w14:textId="77777777" w:rsidR="002C0111" w:rsidRPr="009158EE" w:rsidRDefault="002C0111" w:rsidP="002C0111">
            <w:pPr>
              <w:pStyle w:val="ListParagraph"/>
              <w:numPr>
                <w:ilvl w:val="0"/>
                <w:numId w:val="7"/>
              </w:numPr>
              <w:ind w:left="339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268C753" w14:textId="77777777" w:rsidR="002C0111" w:rsidRDefault="002C0111" w:rsidP="002C0111">
            <w:pPr>
              <w:pStyle w:val="ListParagraph"/>
              <w:numPr>
                <w:ilvl w:val="0"/>
                <w:numId w:val="8"/>
              </w:numPr>
              <w:ind w:left="438" w:hanging="27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Number of WBL activities offered, by type of activity.</w:t>
            </w:r>
            <w:r w:rsidRPr="009158EE" w:rsidDel="00951996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66A1EAD" w14:textId="0A9ED06C" w:rsidR="002C0111" w:rsidRPr="009158EE" w:rsidRDefault="002C0111" w:rsidP="002C0111">
            <w:pPr>
              <w:pStyle w:val="ListParagraph"/>
              <w:ind w:left="43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92459A" w14:textId="56CC37D7" w:rsidR="002C0111" w:rsidRPr="00C15AF9" w:rsidRDefault="002C0111" w:rsidP="002C0111">
            <w:pPr>
              <w:ind w:left="-28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WBL I</w:t>
            </w: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nventory </w:t>
            </w:r>
            <w:r w:rsidR="007F43A2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and electronic tools, TBD</w:t>
            </w:r>
            <w:bookmarkStart w:id="0" w:name="_GoBack"/>
            <w:bookmarkEnd w:id="0"/>
            <w:r w:rsidR="007F43A2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1CB7DA00" w14:textId="52EE2F1D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C15AF9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724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WBL opportunities offered across activity types – as reported by programs on WBL inventory,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December,</w:t>
            </w:r>
            <w:proofErr w:type="gram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2018.</w:t>
            </w:r>
          </w:p>
        </w:tc>
      </w:tr>
      <w:tr w:rsidR="002C0111" w:rsidRPr="00C521F5" w14:paraId="39F9E757" w14:textId="5432FEE0" w:rsidTr="007F43A2">
        <w:tc>
          <w:tcPr>
            <w:tcW w:w="3420" w:type="dxa"/>
            <w:vMerge/>
          </w:tcPr>
          <w:p w14:paraId="73901FCB" w14:textId="77777777" w:rsidR="002C0111" w:rsidRPr="009158EE" w:rsidRDefault="002C0111" w:rsidP="002C0111">
            <w:pPr>
              <w:pStyle w:val="ListParagraph"/>
              <w:numPr>
                <w:ilvl w:val="0"/>
                <w:numId w:val="7"/>
              </w:numPr>
              <w:ind w:left="339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838113C" w14:textId="69E961D0" w:rsidR="002C0111" w:rsidRPr="0054699F" w:rsidRDefault="002C0111" w:rsidP="002C0111">
            <w:pPr>
              <w:pStyle w:val="ListParagraph"/>
              <w:numPr>
                <w:ilvl w:val="0"/>
                <w:numId w:val="8"/>
              </w:numPr>
              <w:ind w:left="439" w:hanging="27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54699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Number of students accessing WBL, by type of WBL opportunity (Note, includes the full range of learning opportunities, from career fairs and industry speakers to internships, paid co-operative work experience, clinical placements, and apprenticeships).</w:t>
            </w:r>
          </w:p>
        </w:tc>
        <w:tc>
          <w:tcPr>
            <w:tcW w:w="2610" w:type="dxa"/>
          </w:tcPr>
          <w:p w14:paraId="795822EB" w14:textId="0FAAFB38" w:rsidR="002C0111" w:rsidRPr="006F6F6F" w:rsidRDefault="002C0111" w:rsidP="002C0111">
            <w:pPr>
              <w:ind w:left="-28"/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WBL Inventory</w:t>
            </w:r>
            <w:r w:rsidR="007F43A2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and electronic tools, TBD</w:t>
            </w:r>
          </w:p>
        </w:tc>
        <w:tc>
          <w:tcPr>
            <w:tcW w:w="3150" w:type="dxa"/>
          </w:tcPr>
          <w:p w14:paraId="4368BF27" w14:textId="0484E52A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6F6F6F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35,325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students accessing WBL across activity type – as reported on WBL inventory,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December,</w:t>
            </w:r>
            <w:proofErr w:type="gram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2018.</w:t>
            </w:r>
          </w:p>
        </w:tc>
      </w:tr>
      <w:tr w:rsidR="002C0111" w:rsidRPr="00C521F5" w14:paraId="190E4BA6" w14:textId="7B72EF63" w:rsidTr="007F43A2">
        <w:tc>
          <w:tcPr>
            <w:tcW w:w="3420" w:type="dxa"/>
          </w:tcPr>
          <w:p w14:paraId="0D3244D4" w14:textId="35F97305" w:rsidR="002C0111" w:rsidRPr="009158EE" w:rsidRDefault="002C0111" w:rsidP="002C0111">
            <w:pPr>
              <w:pStyle w:val="ListParagraph"/>
              <w:numPr>
                <w:ilvl w:val="0"/>
                <w:numId w:val="7"/>
              </w:numPr>
              <w:ind w:left="339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Build an infrastructure to support expanded job placement services across the region.</w:t>
            </w:r>
          </w:p>
        </w:tc>
        <w:tc>
          <w:tcPr>
            <w:tcW w:w="5130" w:type="dxa"/>
          </w:tcPr>
          <w:p w14:paraId="239B54BB" w14:textId="6920AB1D" w:rsidR="002C0111" w:rsidRPr="00543908" w:rsidRDefault="002C0111" w:rsidP="002C0111">
            <w:pPr>
              <w:pStyle w:val="ListParagraph"/>
              <w:numPr>
                <w:ilvl w:val="0"/>
                <w:numId w:val="9"/>
              </w:numPr>
              <w:ind w:left="438" w:hanging="27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543908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Number of students placed in professional jobs by SWP Job Placement Case Managers.</w:t>
            </w:r>
          </w:p>
        </w:tc>
        <w:tc>
          <w:tcPr>
            <w:tcW w:w="2610" w:type="dxa"/>
          </w:tcPr>
          <w:p w14:paraId="578B1841" w14:textId="17D394A5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Data collection </w:t>
            </w:r>
            <w:r w:rsidR="007F43A2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by JPCM and/or electronic, </w:t>
            </w: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3150" w:type="dxa"/>
          </w:tcPr>
          <w:p w14:paraId="03569863" w14:textId="45408715" w:rsidR="002C0111" w:rsidRPr="009158EE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As of 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Jan,</w:t>
            </w:r>
            <w:proofErr w:type="gramEnd"/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10B9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2019, prior to JP managers hired on campuses, </w:t>
            </w:r>
            <w:r w:rsidRPr="00A10B9F">
              <w:rPr>
                <w:rFonts w:ascii="Century Gothic" w:eastAsia="Times New Roman" w:hAnsi="Century Gothic" w:cs="Times New Roman"/>
                <w:b/>
                <w:color w:val="000000" w:themeColor="text1"/>
                <w:sz w:val="20"/>
                <w:szCs w:val="20"/>
              </w:rPr>
              <w:t>2,472</w:t>
            </w:r>
            <w:r w:rsidRPr="00A10B9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students placed in job,</w:t>
            </w: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reported on</w:t>
            </w:r>
            <w:r w:rsidRPr="00A10B9F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 inventory.</w:t>
            </w:r>
          </w:p>
        </w:tc>
      </w:tr>
      <w:tr w:rsidR="002C0111" w:rsidRPr="00C521F5" w14:paraId="1D12D4CB" w14:textId="2C20C557" w:rsidTr="007F43A2">
        <w:tc>
          <w:tcPr>
            <w:tcW w:w="3420" w:type="dxa"/>
          </w:tcPr>
          <w:p w14:paraId="4BAE0DD2" w14:textId="515B8E97" w:rsidR="002C0111" w:rsidRPr="009158EE" w:rsidRDefault="002C0111" w:rsidP="002C0111">
            <w:pPr>
              <w:pStyle w:val="ListParagraph"/>
              <w:numPr>
                <w:ilvl w:val="0"/>
                <w:numId w:val="7"/>
              </w:numPr>
              <w:ind w:left="348" w:hanging="34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Support professional learning in the area of work-based learning to improve the development and integration of high-quality work-based learning into curriculum.</w:t>
            </w:r>
          </w:p>
        </w:tc>
        <w:tc>
          <w:tcPr>
            <w:tcW w:w="5130" w:type="dxa"/>
          </w:tcPr>
          <w:p w14:paraId="26E79383" w14:textId="3882799E" w:rsidR="002C0111" w:rsidRPr="009158EE" w:rsidRDefault="002C0111" w:rsidP="002C0111">
            <w:pPr>
              <w:pStyle w:val="ListParagraph"/>
              <w:numPr>
                <w:ilvl w:val="0"/>
                <w:numId w:val="10"/>
              </w:numPr>
              <w:ind w:left="438" w:hanging="27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 xml:space="preserve">Number of faculty attending WBL professional development. </w:t>
            </w:r>
          </w:p>
        </w:tc>
        <w:tc>
          <w:tcPr>
            <w:tcW w:w="2610" w:type="dxa"/>
          </w:tcPr>
          <w:p w14:paraId="22DE78FA" w14:textId="3092C566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</w:t>
            </w:r>
            <w:r w:rsidRPr="009158EE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o be collected via registrations or sign-ins</w:t>
            </w:r>
          </w:p>
        </w:tc>
        <w:tc>
          <w:tcPr>
            <w:tcW w:w="3150" w:type="dxa"/>
          </w:tcPr>
          <w:p w14:paraId="003F5700" w14:textId="0E2E5779" w:rsidR="002C0111" w:rsidRDefault="002C0111" w:rsidP="002C0111">
            <w:pPr>
              <w:ind w:left="-28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Available next year</w:t>
            </w:r>
          </w:p>
        </w:tc>
      </w:tr>
    </w:tbl>
    <w:p w14:paraId="714C77B9" w14:textId="77777777" w:rsidR="00C521F5" w:rsidRPr="00C521F5" w:rsidRDefault="00C521F5" w:rsidP="00C521F5">
      <w:pPr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sectPr w:rsidR="00C521F5" w:rsidRPr="00C521F5" w:rsidSect="007F43A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8F07" w14:textId="77777777" w:rsidR="00BC38D4" w:rsidRDefault="00BC38D4" w:rsidP="004B1877">
      <w:r>
        <w:separator/>
      </w:r>
    </w:p>
  </w:endnote>
  <w:endnote w:type="continuationSeparator" w:id="0">
    <w:p w14:paraId="60B40144" w14:textId="77777777" w:rsidR="00BC38D4" w:rsidRDefault="00BC38D4" w:rsidP="004B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289EF" w14:textId="77777777" w:rsidR="00BC38D4" w:rsidRDefault="00BC38D4" w:rsidP="004B1877">
      <w:r>
        <w:separator/>
      </w:r>
    </w:p>
  </w:footnote>
  <w:footnote w:type="continuationSeparator" w:id="0">
    <w:p w14:paraId="0600A6C4" w14:textId="77777777" w:rsidR="00BC38D4" w:rsidRDefault="00BC38D4" w:rsidP="004B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B63"/>
    <w:multiLevelType w:val="hybridMultilevel"/>
    <w:tmpl w:val="220A526E"/>
    <w:lvl w:ilvl="0" w:tplc="A366050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 w15:restartNumberingAfterBreak="0">
    <w:nsid w:val="21963FD3"/>
    <w:multiLevelType w:val="hybridMultilevel"/>
    <w:tmpl w:val="9F2E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40E3"/>
    <w:multiLevelType w:val="hybridMultilevel"/>
    <w:tmpl w:val="74E4D260"/>
    <w:lvl w:ilvl="0" w:tplc="6B38A4C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2D457591"/>
    <w:multiLevelType w:val="hybridMultilevel"/>
    <w:tmpl w:val="25569D30"/>
    <w:lvl w:ilvl="0" w:tplc="0409000F">
      <w:start w:val="1"/>
      <w:numFmt w:val="decimal"/>
      <w:lvlText w:val="%1."/>
      <w:lvlJc w:val="left"/>
      <w:pPr>
        <w:ind w:left="699" w:hanging="360"/>
      </w:p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56682ADF"/>
    <w:multiLevelType w:val="hybridMultilevel"/>
    <w:tmpl w:val="F44222C0"/>
    <w:lvl w:ilvl="0" w:tplc="0409000F">
      <w:start w:val="1"/>
      <w:numFmt w:val="decimal"/>
      <w:lvlText w:val="%1."/>
      <w:lvlJc w:val="left"/>
      <w:pPr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5C480390"/>
    <w:multiLevelType w:val="hybridMultilevel"/>
    <w:tmpl w:val="ABE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0694"/>
    <w:multiLevelType w:val="hybridMultilevel"/>
    <w:tmpl w:val="A4CE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2CBC"/>
    <w:multiLevelType w:val="hybridMultilevel"/>
    <w:tmpl w:val="B97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2665"/>
    <w:multiLevelType w:val="hybridMultilevel"/>
    <w:tmpl w:val="DD18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5EA5"/>
    <w:multiLevelType w:val="hybridMultilevel"/>
    <w:tmpl w:val="6DA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0D"/>
    <w:rsid w:val="0007650D"/>
    <w:rsid w:val="00092F23"/>
    <w:rsid w:val="000C65A5"/>
    <w:rsid w:val="000D1040"/>
    <w:rsid w:val="000E5DE4"/>
    <w:rsid w:val="000F5AFF"/>
    <w:rsid w:val="0014094D"/>
    <w:rsid w:val="001454A6"/>
    <w:rsid w:val="00145ABC"/>
    <w:rsid w:val="00176978"/>
    <w:rsid w:val="00177857"/>
    <w:rsid w:val="001936F3"/>
    <w:rsid w:val="001B4729"/>
    <w:rsid w:val="002129C9"/>
    <w:rsid w:val="00237389"/>
    <w:rsid w:val="00243C2C"/>
    <w:rsid w:val="002533FD"/>
    <w:rsid w:val="002917E6"/>
    <w:rsid w:val="002C0111"/>
    <w:rsid w:val="002D2EEE"/>
    <w:rsid w:val="002D6D2F"/>
    <w:rsid w:val="00302F6C"/>
    <w:rsid w:val="003827D8"/>
    <w:rsid w:val="003E675A"/>
    <w:rsid w:val="004462C3"/>
    <w:rsid w:val="00466B15"/>
    <w:rsid w:val="004A5612"/>
    <w:rsid w:val="004B1877"/>
    <w:rsid w:val="00543908"/>
    <w:rsid w:val="0054699F"/>
    <w:rsid w:val="00553AD4"/>
    <w:rsid w:val="00556FAC"/>
    <w:rsid w:val="005739D6"/>
    <w:rsid w:val="00575A33"/>
    <w:rsid w:val="006232EB"/>
    <w:rsid w:val="006566E8"/>
    <w:rsid w:val="00712970"/>
    <w:rsid w:val="00745247"/>
    <w:rsid w:val="00756C7C"/>
    <w:rsid w:val="00762F63"/>
    <w:rsid w:val="0077346F"/>
    <w:rsid w:val="007F2D98"/>
    <w:rsid w:val="007F3D37"/>
    <w:rsid w:val="007F43A2"/>
    <w:rsid w:val="00803DAE"/>
    <w:rsid w:val="008153CF"/>
    <w:rsid w:val="00853D14"/>
    <w:rsid w:val="00854F66"/>
    <w:rsid w:val="009158EE"/>
    <w:rsid w:val="00951996"/>
    <w:rsid w:val="009C6C4D"/>
    <w:rsid w:val="009F7247"/>
    <w:rsid w:val="00A017F2"/>
    <w:rsid w:val="00A10B9F"/>
    <w:rsid w:val="00A54FFF"/>
    <w:rsid w:val="00A7175F"/>
    <w:rsid w:val="00A84160"/>
    <w:rsid w:val="00A849E6"/>
    <w:rsid w:val="00A85ED4"/>
    <w:rsid w:val="00A92A64"/>
    <w:rsid w:val="00AD3C88"/>
    <w:rsid w:val="00B36199"/>
    <w:rsid w:val="00B363F1"/>
    <w:rsid w:val="00BC38D4"/>
    <w:rsid w:val="00C521F5"/>
    <w:rsid w:val="00CE16FE"/>
    <w:rsid w:val="00D140DD"/>
    <w:rsid w:val="00D95FC8"/>
    <w:rsid w:val="00DB04A8"/>
    <w:rsid w:val="00E37DF8"/>
    <w:rsid w:val="00F41401"/>
    <w:rsid w:val="00F57E5F"/>
    <w:rsid w:val="00F85F16"/>
    <w:rsid w:val="00FB1A2F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2255"/>
  <w14:defaultImageDpi w14:val="32767"/>
  <w15:chartTrackingRefBased/>
  <w15:docId w15:val="{AB3EF215-8DFC-CF46-8659-D883C37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50D"/>
  </w:style>
  <w:style w:type="paragraph" w:styleId="ListParagraph">
    <w:name w:val="List Paragraph"/>
    <w:basedOn w:val="Normal"/>
    <w:uiPriority w:val="34"/>
    <w:qFormat/>
    <w:rsid w:val="0007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9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D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8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8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1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96"/>
  </w:style>
  <w:style w:type="paragraph" w:styleId="Footer">
    <w:name w:val="footer"/>
    <w:basedOn w:val="Normal"/>
    <w:link w:val="FooterChar"/>
    <w:uiPriority w:val="99"/>
    <w:unhideWhenUsed/>
    <w:rsid w:val="00951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96"/>
  </w:style>
  <w:style w:type="character" w:styleId="Emphasis">
    <w:name w:val="Emphasis"/>
    <w:basedOn w:val="DefaultParagraphFont"/>
    <w:uiPriority w:val="20"/>
    <w:qFormat/>
    <w:rsid w:val="00CE16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1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5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2</cp:revision>
  <cp:lastPrinted>2018-08-28T05:32:00Z</cp:lastPrinted>
  <dcterms:created xsi:type="dcterms:W3CDTF">2019-01-15T23:10:00Z</dcterms:created>
  <dcterms:modified xsi:type="dcterms:W3CDTF">2019-01-15T23:10:00Z</dcterms:modified>
</cp:coreProperties>
</file>