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4F3" w:rsidRDefault="00B534F3" w:rsidP="00B534F3">
      <w:pPr>
        <w:pStyle w:val="Heading-1"/>
        <w:jc w:val="center"/>
        <w:rPr>
          <w:rFonts w:asciiTheme="minorHAnsi" w:hAnsiTheme="minorHAnsi" w:cstheme="minorHAnsi"/>
          <w:bCs/>
          <w:caps w:val="0"/>
          <w:sz w:val="24"/>
          <w:szCs w:val="24"/>
        </w:rPr>
      </w:pPr>
      <w:r>
        <w:rPr>
          <w:rFonts w:asciiTheme="minorHAnsi" w:hAnsiTheme="minorHAnsi" w:cstheme="minorHAnsi"/>
          <w:bCs/>
          <w:caps w:val="0"/>
          <w:sz w:val="24"/>
          <w:szCs w:val="24"/>
        </w:rPr>
        <w:t xml:space="preserve">Checklist: </w:t>
      </w:r>
      <w:r w:rsidRPr="00D15D14">
        <w:rPr>
          <w:rFonts w:asciiTheme="minorHAnsi" w:hAnsiTheme="minorHAnsi" w:cstheme="minorHAnsi"/>
          <w:bCs/>
          <w:caps w:val="0"/>
          <w:sz w:val="24"/>
          <w:szCs w:val="24"/>
        </w:rPr>
        <w:t>F</w:t>
      </w:r>
      <w:r>
        <w:rPr>
          <w:rFonts w:asciiTheme="minorHAnsi" w:hAnsiTheme="minorHAnsi" w:cstheme="minorHAnsi"/>
          <w:bCs/>
          <w:caps w:val="0"/>
          <w:sz w:val="24"/>
          <w:szCs w:val="24"/>
        </w:rPr>
        <w:t>actors</w:t>
      </w:r>
      <w:r w:rsidRPr="00D15D14">
        <w:rPr>
          <w:rFonts w:asciiTheme="minorHAnsi" w:hAnsiTheme="minorHAnsi" w:cstheme="minorHAnsi"/>
          <w:bCs/>
          <w:caps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caps w:val="0"/>
          <w:sz w:val="24"/>
          <w:szCs w:val="24"/>
        </w:rPr>
        <w:t>T</w:t>
      </w:r>
      <w:r w:rsidRPr="00D15D14">
        <w:rPr>
          <w:rFonts w:asciiTheme="minorHAnsi" w:hAnsiTheme="minorHAnsi" w:cstheme="minorHAnsi"/>
          <w:bCs/>
          <w:caps w:val="0"/>
          <w:sz w:val="24"/>
          <w:szCs w:val="24"/>
        </w:rPr>
        <w:t>hat Enable High</w:t>
      </w:r>
      <w:r>
        <w:rPr>
          <w:rFonts w:asciiTheme="minorHAnsi" w:hAnsiTheme="minorHAnsi" w:cstheme="minorHAnsi"/>
          <w:bCs/>
          <w:caps w:val="0"/>
          <w:sz w:val="24"/>
          <w:szCs w:val="24"/>
        </w:rPr>
        <w:t>-</w:t>
      </w:r>
      <w:r w:rsidRPr="00D15D14">
        <w:rPr>
          <w:rFonts w:asciiTheme="minorHAnsi" w:hAnsiTheme="minorHAnsi" w:cstheme="minorHAnsi"/>
          <w:bCs/>
          <w:caps w:val="0"/>
          <w:sz w:val="24"/>
          <w:szCs w:val="24"/>
        </w:rPr>
        <w:t>Quality Work-based Learning</w:t>
      </w:r>
    </w:p>
    <w:p w:rsidR="00342107" w:rsidRPr="00342107" w:rsidRDefault="00342107" w:rsidP="00B534F3">
      <w:pPr>
        <w:pStyle w:val="Heading-1"/>
        <w:jc w:val="center"/>
        <w:rPr>
          <w:rFonts w:asciiTheme="minorHAnsi" w:hAnsiTheme="minorHAnsi" w:cstheme="minorHAnsi"/>
          <w:bCs/>
          <w:caps w:val="0"/>
          <w:sz w:val="16"/>
          <w:szCs w:val="16"/>
        </w:rPr>
      </w:pPr>
    </w:p>
    <w:p w:rsidR="00B534F3" w:rsidRDefault="00B534F3" w:rsidP="00B534F3">
      <w:pPr>
        <w:pStyle w:val="Heading-1"/>
        <w:rPr>
          <w:b w:val="0"/>
          <w:bCs/>
          <w:i/>
          <w:caps w:val="0"/>
          <w:sz w:val="20"/>
          <w:szCs w:val="24"/>
        </w:rPr>
      </w:pPr>
      <w:r w:rsidRPr="00C468F6">
        <w:rPr>
          <w:b w:val="0"/>
          <w:bCs/>
          <w:i/>
          <w:caps w:val="0"/>
          <w:sz w:val="20"/>
          <w:szCs w:val="24"/>
        </w:rPr>
        <w:t>Evidence of adoption/implementation</w:t>
      </w:r>
      <w:r>
        <w:rPr>
          <w:b w:val="0"/>
          <w:bCs/>
          <w:i/>
          <w:caps w:val="0"/>
          <w:sz w:val="20"/>
          <w:szCs w:val="24"/>
        </w:rPr>
        <w:t xml:space="preserve"> 1-4</w:t>
      </w:r>
      <w:r w:rsidRPr="00C468F6">
        <w:rPr>
          <w:b w:val="0"/>
          <w:bCs/>
          <w:i/>
          <w:caps w:val="0"/>
          <w:sz w:val="20"/>
          <w:szCs w:val="24"/>
        </w:rPr>
        <w:t xml:space="preserve"> (1=not evident, 2=</w:t>
      </w:r>
      <w:r>
        <w:rPr>
          <w:b w:val="0"/>
          <w:bCs/>
          <w:i/>
          <w:caps w:val="0"/>
          <w:sz w:val="20"/>
          <w:szCs w:val="24"/>
        </w:rPr>
        <w:t>s</w:t>
      </w:r>
      <w:r w:rsidRPr="00C468F6">
        <w:rPr>
          <w:b w:val="0"/>
          <w:bCs/>
          <w:i/>
          <w:caps w:val="0"/>
          <w:sz w:val="20"/>
          <w:szCs w:val="24"/>
        </w:rPr>
        <w:t>omewhat evident, 3=</w:t>
      </w:r>
      <w:r>
        <w:rPr>
          <w:b w:val="0"/>
          <w:bCs/>
          <w:i/>
          <w:caps w:val="0"/>
          <w:sz w:val="20"/>
          <w:szCs w:val="24"/>
        </w:rPr>
        <w:t>evident</w:t>
      </w:r>
      <w:r w:rsidRPr="00C468F6">
        <w:rPr>
          <w:b w:val="0"/>
          <w:bCs/>
          <w:i/>
          <w:caps w:val="0"/>
          <w:sz w:val="20"/>
          <w:szCs w:val="24"/>
        </w:rPr>
        <w:t>, 4=fully implemented)</w:t>
      </w:r>
      <w:bookmarkStart w:id="0" w:name="_GoBack"/>
      <w:bookmarkEnd w:id="0"/>
    </w:p>
    <w:tbl>
      <w:tblPr>
        <w:tblStyle w:val="TableGrid"/>
        <w:tblW w:w="10309" w:type="dxa"/>
        <w:tblInd w:w="-95" w:type="dxa"/>
        <w:tblLook w:val="04A0" w:firstRow="1" w:lastRow="0" w:firstColumn="1" w:lastColumn="0" w:noHBand="0" w:noVBand="1"/>
      </w:tblPr>
      <w:tblGrid>
        <w:gridCol w:w="6030"/>
        <w:gridCol w:w="810"/>
        <w:gridCol w:w="3469"/>
      </w:tblGrid>
      <w:tr w:rsidR="00B534F3" w:rsidRPr="00DF40DD" w:rsidTr="00B534F3">
        <w:tc>
          <w:tcPr>
            <w:tcW w:w="6030" w:type="dxa"/>
            <w:shd w:val="clear" w:color="auto" w:fill="2F5496" w:themeFill="accent1" w:themeFillShade="BF"/>
          </w:tcPr>
          <w:p w:rsidR="00B534F3" w:rsidRPr="00DF40DD" w:rsidRDefault="00B534F3" w:rsidP="00C053C2">
            <w:pPr>
              <w:spacing w:after="100" w:line="276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F40DD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FACTORS</w:t>
            </w:r>
          </w:p>
        </w:tc>
        <w:tc>
          <w:tcPr>
            <w:tcW w:w="810" w:type="dxa"/>
            <w:shd w:val="clear" w:color="auto" w:fill="2F5496" w:themeFill="accent1" w:themeFillShade="BF"/>
          </w:tcPr>
          <w:p w:rsidR="00B534F3" w:rsidRPr="00DF40DD" w:rsidRDefault="00B534F3" w:rsidP="00C053C2">
            <w:pPr>
              <w:spacing w:after="100" w:line="276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1-4</w:t>
            </w:r>
          </w:p>
        </w:tc>
        <w:tc>
          <w:tcPr>
            <w:tcW w:w="3469" w:type="dxa"/>
            <w:shd w:val="clear" w:color="auto" w:fill="2F5496" w:themeFill="accent1" w:themeFillShade="BF"/>
          </w:tcPr>
          <w:p w:rsidR="00B534F3" w:rsidRPr="00DF40DD" w:rsidRDefault="00B534F3" w:rsidP="00C053C2">
            <w:pPr>
              <w:spacing w:after="100" w:line="276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F40DD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NOTES</w:t>
            </w:r>
          </w:p>
        </w:tc>
      </w:tr>
      <w:tr w:rsidR="00B534F3" w:rsidRPr="0079635C" w:rsidTr="00B534F3">
        <w:tc>
          <w:tcPr>
            <w:tcW w:w="6030" w:type="dxa"/>
            <w:shd w:val="clear" w:color="auto" w:fill="8EAADB" w:themeFill="accent1" w:themeFillTint="99"/>
          </w:tcPr>
          <w:p w:rsidR="00B534F3" w:rsidRPr="0079635C" w:rsidRDefault="00B534F3" w:rsidP="00C053C2">
            <w:pPr>
              <w:spacing w:after="100" w:line="276" w:lineRule="auto"/>
              <w:rPr>
                <w:rFonts w:cstheme="minorHAnsi"/>
                <w:b/>
                <w:sz w:val="20"/>
                <w:szCs w:val="20"/>
              </w:rPr>
            </w:pPr>
            <w:r w:rsidRPr="0079635C">
              <w:rPr>
                <w:rFonts w:cstheme="minorHAnsi"/>
                <w:b/>
                <w:sz w:val="20"/>
                <w:szCs w:val="20"/>
              </w:rPr>
              <w:t>Systemic Factors</w:t>
            </w:r>
          </w:p>
        </w:tc>
        <w:tc>
          <w:tcPr>
            <w:tcW w:w="810" w:type="dxa"/>
            <w:shd w:val="clear" w:color="auto" w:fill="8EAADB" w:themeFill="accent1" w:themeFillTint="99"/>
          </w:tcPr>
          <w:p w:rsidR="00B534F3" w:rsidRPr="0079635C" w:rsidRDefault="00B534F3" w:rsidP="00C053C2">
            <w:pPr>
              <w:spacing w:after="10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69" w:type="dxa"/>
            <w:shd w:val="clear" w:color="auto" w:fill="8EAADB" w:themeFill="accent1" w:themeFillTint="99"/>
          </w:tcPr>
          <w:p w:rsidR="00B534F3" w:rsidRPr="0079635C" w:rsidRDefault="00B534F3" w:rsidP="00C053C2">
            <w:pPr>
              <w:spacing w:after="10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34F3" w:rsidRPr="0079635C" w:rsidTr="00B534F3">
        <w:tc>
          <w:tcPr>
            <w:tcW w:w="6030" w:type="dxa"/>
          </w:tcPr>
          <w:p w:rsidR="00B534F3" w:rsidRPr="0079635C" w:rsidRDefault="00B534F3" w:rsidP="00B534F3">
            <w:pPr>
              <w:numPr>
                <w:ilvl w:val="0"/>
                <w:numId w:val="3"/>
              </w:numPr>
              <w:spacing w:line="276" w:lineRule="auto"/>
              <w:ind w:left="425"/>
              <w:rPr>
                <w:rFonts w:cstheme="minorHAnsi"/>
                <w:sz w:val="20"/>
                <w:szCs w:val="20"/>
              </w:rPr>
            </w:pPr>
            <w:r w:rsidRPr="0079635C">
              <w:rPr>
                <w:rFonts w:eastAsia="MS PGothic" w:cstheme="minorHAnsi"/>
                <w:b/>
                <w:bCs/>
                <w:iCs/>
                <w:sz w:val="20"/>
                <w:szCs w:val="20"/>
              </w:rPr>
              <w:t>Information</w:t>
            </w:r>
            <w:r>
              <w:rPr>
                <w:rFonts w:eastAsia="MS PGothic" w:cstheme="minorHAnsi"/>
                <w:b/>
                <w:bCs/>
                <w:iCs/>
                <w:sz w:val="20"/>
                <w:szCs w:val="20"/>
              </w:rPr>
              <w:t xml:space="preserve"> access</w:t>
            </w:r>
            <w:r w:rsidRPr="0079635C">
              <w:rPr>
                <w:rFonts w:eastAsia="MS PGothic" w:cstheme="minorHAnsi"/>
                <w:b/>
                <w:bCs/>
                <w:iCs/>
                <w:sz w:val="20"/>
                <w:szCs w:val="20"/>
              </w:rPr>
              <w:t>.</w:t>
            </w:r>
            <w:r w:rsidRPr="0079635C">
              <w:rPr>
                <w:rFonts w:eastAsia="MS PGothic" w:cstheme="minorHAnsi"/>
                <w:sz w:val="20"/>
                <w:szCs w:val="20"/>
              </w:rPr>
              <w:t xml:space="preserve"> Systematic organization of information about opportunities to facilitate linkages</w:t>
            </w:r>
          </w:p>
        </w:tc>
        <w:tc>
          <w:tcPr>
            <w:tcW w:w="810" w:type="dxa"/>
          </w:tcPr>
          <w:p w:rsidR="00B534F3" w:rsidRPr="0079635C" w:rsidRDefault="00B534F3" w:rsidP="00C053C2">
            <w:pPr>
              <w:spacing w:line="276" w:lineRule="auto"/>
              <w:ind w:left="425"/>
              <w:rPr>
                <w:rFonts w:eastAsia="MS PGothic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69" w:type="dxa"/>
          </w:tcPr>
          <w:p w:rsidR="00B534F3" w:rsidRPr="0079635C" w:rsidRDefault="00B534F3" w:rsidP="00C053C2">
            <w:pPr>
              <w:spacing w:line="276" w:lineRule="auto"/>
              <w:ind w:left="425"/>
              <w:rPr>
                <w:rFonts w:eastAsia="MS PGothic" w:cstheme="minorHAnsi"/>
                <w:b/>
                <w:bCs/>
                <w:iCs/>
                <w:sz w:val="20"/>
                <w:szCs w:val="20"/>
              </w:rPr>
            </w:pPr>
          </w:p>
        </w:tc>
      </w:tr>
      <w:tr w:rsidR="00B534F3" w:rsidRPr="0079635C" w:rsidTr="00B534F3">
        <w:tc>
          <w:tcPr>
            <w:tcW w:w="6030" w:type="dxa"/>
          </w:tcPr>
          <w:p w:rsidR="00B534F3" w:rsidRPr="0079635C" w:rsidRDefault="00B534F3" w:rsidP="00B534F3">
            <w:pPr>
              <w:numPr>
                <w:ilvl w:val="0"/>
                <w:numId w:val="3"/>
              </w:numPr>
              <w:spacing w:line="276" w:lineRule="auto"/>
              <w:ind w:left="425"/>
              <w:rPr>
                <w:rFonts w:cstheme="minorHAnsi"/>
                <w:sz w:val="20"/>
                <w:szCs w:val="20"/>
              </w:rPr>
            </w:pPr>
            <w:r w:rsidRPr="0079635C">
              <w:rPr>
                <w:rFonts w:eastAsia="MS PGothic" w:cstheme="minorHAnsi"/>
                <w:b/>
                <w:bCs/>
                <w:iCs/>
                <w:sz w:val="20"/>
                <w:szCs w:val="20"/>
              </w:rPr>
              <w:t>Technology.</w:t>
            </w:r>
            <w:r w:rsidRPr="0079635C">
              <w:rPr>
                <w:rFonts w:eastAsia="MS PGothic" w:cstheme="minorHAnsi"/>
                <w:sz w:val="20"/>
                <w:szCs w:val="20"/>
              </w:rPr>
              <w:t xml:space="preserve"> Technology infrastructure to support placements, orientations, actual WBL experiences</w:t>
            </w:r>
          </w:p>
        </w:tc>
        <w:tc>
          <w:tcPr>
            <w:tcW w:w="810" w:type="dxa"/>
          </w:tcPr>
          <w:p w:rsidR="00B534F3" w:rsidRPr="0079635C" w:rsidRDefault="00B534F3" w:rsidP="00C053C2">
            <w:pPr>
              <w:spacing w:line="276" w:lineRule="auto"/>
              <w:ind w:left="425"/>
              <w:rPr>
                <w:rFonts w:eastAsia="MS PGothic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69" w:type="dxa"/>
          </w:tcPr>
          <w:p w:rsidR="00B534F3" w:rsidRPr="0079635C" w:rsidRDefault="00B534F3" w:rsidP="00C053C2">
            <w:pPr>
              <w:spacing w:line="276" w:lineRule="auto"/>
              <w:ind w:left="425"/>
              <w:rPr>
                <w:rFonts w:eastAsia="MS PGothic" w:cstheme="minorHAnsi"/>
                <w:b/>
                <w:bCs/>
                <w:iCs/>
                <w:sz w:val="20"/>
                <w:szCs w:val="20"/>
              </w:rPr>
            </w:pPr>
          </w:p>
        </w:tc>
      </w:tr>
      <w:tr w:rsidR="00B534F3" w:rsidRPr="0079635C" w:rsidTr="00B534F3">
        <w:tc>
          <w:tcPr>
            <w:tcW w:w="6030" w:type="dxa"/>
          </w:tcPr>
          <w:p w:rsidR="00B534F3" w:rsidRPr="0079635C" w:rsidRDefault="00B534F3" w:rsidP="00B534F3">
            <w:pPr>
              <w:numPr>
                <w:ilvl w:val="0"/>
                <w:numId w:val="3"/>
              </w:numPr>
              <w:spacing w:line="276" w:lineRule="auto"/>
              <w:ind w:left="425"/>
              <w:rPr>
                <w:rFonts w:cstheme="minorHAnsi"/>
                <w:sz w:val="20"/>
                <w:szCs w:val="20"/>
              </w:rPr>
            </w:pPr>
            <w:r w:rsidRPr="0079635C">
              <w:rPr>
                <w:rFonts w:eastAsia="MS PGothic" w:cstheme="minorHAnsi"/>
                <w:b/>
                <w:bCs/>
                <w:iCs/>
                <w:sz w:val="20"/>
                <w:szCs w:val="20"/>
              </w:rPr>
              <w:t xml:space="preserve">Quality </w:t>
            </w:r>
            <w:r>
              <w:rPr>
                <w:rFonts w:eastAsia="MS PGothic" w:cstheme="minorHAnsi"/>
                <w:b/>
                <w:bCs/>
                <w:iCs/>
                <w:sz w:val="20"/>
                <w:szCs w:val="20"/>
              </w:rPr>
              <w:t>c</w:t>
            </w:r>
            <w:r w:rsidRPr="0079635C">
              <w:rPr>
                <w:rFonts w:eastAsia="MS PGothic" w:cstheme="minorHAnsi"/>
                <w:b/>
                <w:bCs/>
                <w:iCs/>
                <w:sz w:val="20"/>
                <w:szCs w:val="20"/>
              </w:rPr>
              <w:t>ontrol.</w:t>
            </w:r>
            <w:r w:rsidRPr="0079635C">
              <w:rPr>
                <w:rFonts w:eastAsia="MS PGothic" w:cstheme="minorHAnsi"/>
                <w:sz w:val="20"/>
                <w:szCs w:val="20"/>
              </w:rPr>
              <w:t xml:space="preserve"> Tools, processes and documentation in place to ensure consistency in quality practice (without stifling </w:t>
            </w:r>
            <w:r>
              <w:rPr>
                <w:rFonts w:eastAsia="MS PGothic" w:cstheme="minorHAnsi"/>
                <w:sz w:val="20"/>
                <w:szCs w:val="20"/>
              </w:rPr>
              <w:t>faculty</w:t>
            </w:r>
            <w:r w:rsidRPr="0079635C">
              <w:rPr>
                <w:rFonts w:eastAsia="MS PGothic" w:cstheme="minorHAnsi"/>
                <w:sz w:val="20"/>
                <w:szCs w:val="20"/>
              </w:rPr>
              <w:t xml:space="preserve"> innovation)</w:t>
            </w:r>
          </w:p>
        </w:tc>
        <w:tc>
          <w:tcPr>
            <w:tcW w:w="810" w:type="dxa"/>
          </w:tcPr>
          <w:p w:rsidR="00B534F3" w:rsidRPr="0079635C" w:rsidRDefault="00B534F3" w:rsidP="00C053C2">
            <w:pPr>
              <w:spacing w:line="276" w:lineRule="auto"/>
              <w:ind w:left="425"/>
              <w:rPr>
                <w:rFonts w:eastAsia="MS PGothic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69" w:type="dxa"/>
          </w:tcPr>
          <w:p w:rsidR="00B534F3" w:rsidRPr="0079635C" w:rsidRDefault="00B534F3" w:rsidP="00C053C2">
            <w:pPr>
              <w:spacing w:line="276" w:lineRule="auto"/>
              <w:ind w:left="425"/>
              <w:rPr>
                <w:rFonts w:eastAsia="MS PGothic" w:cstheme="minorHAnsi"/>
                <w:b/>
                <w:bCs/>
                <w:iCs/>
                <w:sz w:val="20"/>
                <w:szCs w:val="20"/>
              </w:rPr>
            </w:pPr>
          </w:p>
        </w:tc>
      </w:tr>
      <w:tr w:rsidR="00B534F3" w:rsidRPr="0079635C" w:rsidTr="00B534F3">
        <w:tc>
          <w:tcPr>
            <w:tcW w:w="6030" w:type="dxa"/>
          </w:tcPr>
          <w:p w:rsidR="00B534F3" w:rsidRPr="0079635C" w:rsidRDefault="00B534F3" w:rsidP="00B534F3">
            <w:pPr>
              <w:numPr>
                <w:ilvl w:val="0"/>
                <w:numId w:val="3"/>
              </w:numPr>
              <w:spacing w:line="276" w:lineRule="auto"/>
              <w:ind w:left="425"/>
              <w:rPr>
                <w:rFonts w:cstheme="minorHAnsi"/>
                <w:sz w:val="20"/>
                <w:szCs w:val="20"/>
              </w:rPr>
            </w:pPr>
            <w:r w:rsidRPr="0079635C">
              <w:rPr>
                <w:rFonts w:eastAsia="MS PGothic" w:cstheme="minorHAnsi"/>
                <w:b/>
                <w:bCs/>
                <w:iCs/>
                <w:sz w:val="20"/>
                <w:szCs w:val="20"/>
              </w:rPr>
              <w:t>Resources.</w:t>
            </w:r>
            <w:r w:rsidRPr="0079635C">
              <w:rPr>
                <w:rFonts w:eastAsia="MS PGothic" w:cstheme="minorHAnsi"/>
                <w:sz w:val="20"/>
                <w:szCs w:val="20"/>
              </w:rPr>
              <w:t xml:space="preserve"> Leverag</w:t>
            </w:r>
            <w:r>
              <w:rPr>
                <w:rFonts w:eastAsia="MS PGothic" w:cstheme="minorHAnsi"/>
                <w:sz w:val="20"/>
                <w:szCs w:val="20"/>
              </w:rPr>
              <w:t>ed</w:t>
            </w:r>
            <w:r w:rsidRPr="0079635C">
              <w:rPr>
                <w:rFonts w:eastAsia="MS PGothic" w:cstheme="minorHAnsi"/>
                <w:sz w:val="20"/>
                <w:szCs w:val="20"/>
              </w:rPr>
              <w:t xml:space="preserve"> funding streams t</w:t>
            </w:r>
            <w:r>
              <w:rPr>
                <w:rFonts w:eastAsia="MS PGothic" w:cstheme="minorHAnsi"/>
                <w:sz w:val="20"/>
                <w:szCs w:val="20"/>
              </w:rPr>
              <w:t>hat</w:t>
            </w:r>
            <w:r w:rsidRPr="0079635C">
              <w:rPr>
                <w:rFonts w:eastAsia="MS PGothic" w:cstheme="minorHAnsi"/>
                <w:sz w:val="20"/>
                <w:szCs w:val="20"/>
              </w:rPr>
              <w:t xml:space="preserve"> ensure adequate support </w:t>
            </w:r>
          </w:p>
        </w:tc>
        <w:tc>
          <w:tcPr>
            <w:tcW w:w="810" w:type="dxa"/>
          </w:tcPr>
          <w:p w:rsidR="00B534F3" w:rsidRPr="0079635C" w:rsidRDefault="00B534F3" w:rsidP="00C053C2">
            <w:pPr>
              <w:spacing w:line="276" w:lineRule="auto"/>
              <w:ind w:left="425"/>
              <w:rPr>
                <w:rFonts w:eastAsia="MS PGothic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69" w:type="dxa"/>
          </w:tcPr>
          <w:p w:rsidR="00B534F3" w:rsidRPr="0079635C" w:rsidRDefault="00B534F3" w:rsidP="00C053C2">
            <w:pPr>
              <w:spacing w:line="276" w:lineRule="auto"/>
              <w:ind w:left="425"/>
              <w:rPr>
                <w:rFonts w:eastAsia="MS PGothic" w:cstheme="minorHAnsi"/>
                <w:b/>
                <w:bCs/>
                <w:iCs/>
                <w:sz w:val="20"/>
                <w:szCs w:val="20"/>
              </w:rPr>
            </w:pPr>
          </w:p>
        </w:tc>
      </w:tr>
      <w:tr w:rsidR="00B534F3" w:rsidRPr="0079635C" w:rsidTr="00B534F3">
        <w:tc>
          <w:tcPr>
            <w:tcW w:w="6030" w:type="dxa"/>
          </w:tcPr>
          <w:p w:rsidR="00B534F3" w:rsidRPr="0079635C" w:rsidRDefault="00B534F3" w:rsidP="00B534F3">
            <w:pPr>
              <w:numPr>
                <w:ilvl w:val="0"/>
                <w:numId w:val="3"/>
              </w:numPr>
              <w:spacing w:line="276" w:lineRule="auto"/>
              <w:ind w:left="425"/>
              <w:rPr>
                <w:rFonts w:cstheme="minorHAnsi"/>
                <w:sz w:val="20"/>
                <w:szCs w:val="20"/>
              </w:rPr>
            </w:pPr>
            <w:r w:rsidRPr="0079635C">
              <w:rPr>
                <w:rFonts w:eastAsia="MS PGothic" w:cstheme="minorHAnsi"/>
                <w:b/>
                <w:bCs/>
                <w:iCs/>
                <w:sz w:val="20"/>
                <w:szCs w:val="20"/>
              </w:rPr>
              <w:t xml:space="preserve">Stakeholder </w:t>
            </w:r>
            <w:r>
              <w:rPr>
                <w:rFonts w:eastAsia="MS PGothic" w:cstheme="minorHAnsi"/>
                <w:b/>
                <w:bCs/>
                <w:iCs/>
                <w:sz w:val="20"/>
                <w:szCs w:val="20"/>
              </w:rPr>
              <w:t>engagement</w:t>
            </w:r>
            <w:r w:rsidRPr="0079635C">
              <w:rPr>
                <w:rFonts w:eastAsia="MS PGothic" w:cstheme="minorHAnsi"/>
                <w:b/>
                <w:bCs/>
                <w:iCs/>
                <w:sz w:val="20"/>
                <w:szCs w:val="20"/>
              </w:rPr>
              <w:t>.</w:t>
            </w:r>
            <w:r w:rsidRPr="0079635C">
              <w:rPr>
                <w:rFonts w:eastAsia="MS PGothic" w:cstheme="minorHAnsi"/>
                <w:sz w:val="20"/>
                <w:szCs w:val="20"/>
              </w:rPr>
              <w:t xml:space="preserve"> </w:t>
            </w:r>
            <w:r>
              <w:rPr>
                <w:rFonts w:eastAsia="MS PGothic" w:cstheme="minorHAnsi"/>
                <w:sz w:val="20"/>
                <w:szCs w:val="20"/>
              </w:rPr>
              <w:t>Advisory s</w:t>
            </w:r>
            <w:r w:rsidRPr="0079635C">
              <w:rPr>
                <w:rFonts w:eastAsia="MS PGothic" w:cstheme="minorHAnsi"/>
                <w:sz w:val="20"/>
                <w:szCs w:val="20"/>
              </w:rPr>
              <w:t>tructures and coalitions that can inform practice and generate opportunities for students</w:t>
            </w:r>
          </w:p>
        </w:tc>
        <w:tc>
          <w:tcPr>
            <w:tcW w:w="810" w:type="dxa"/>
          </w:tcPr>
          <w:p w:rsidR="00B534F3" w:rsidRPr="0079635C" w:rsidRDefault="00B534F3" w:rsidP="00C053C2">
            <w:pPr>
              <w:spacing w:line="276" w:lineRule="auto"/>
              <w:ind w:left="425"/>
              <w:rPr>
                <w:rFonts w:eastAsia="MS PGothic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69" w:type="dxa"/>
          </w:tcPr>
          <w:p w:rsidR="00B534F3" w:rsidRPr="0079635C" w:rsidRDefault="00B534F3" w:rsidP="00C053C2">
            <w:pPr>
              <w:spacing w:line="276" w:lineRule="auto"/>
              <w:ind w:left="425"/>
              <w:rPr>
                <w:rFonts w:eastAsia="MS PGothic" w:cstheme="minorHAnsi"/>
                <w:b/>
                <w:bCs/>
                <w:iCs/>
                <w:sz w:val="20"/>
                <w:szCs w:val="20"/>
              </w:rPr>
            </w:pPr>
          </w:p>
        </w:tc>
      </w:tr>
      <w:tr w:rsidR="00B534F3" w:rsidRPr="0079635C" w:rsidTr="00B534F3">
        <w:tc>
          <w:tcPr>
            <w:tcW w:w="6030" w:type="dxa"/>
          </w:tcPr>
          <w:p w:rsidR="00B534F3" w:rsidRPr="00DF40DD" w:rsidRDefault="00B534F3" w:rsidP="00B534F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699" w:hanging="270"/>
              <w:rPr>
                <w:rFonts w:asciiTheme="minorHAnsi" w:eastAsia="MS PGothic" w:hAnsiTheme="minorHAnsi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asciiTheme="minorHAnsi" w:eastAsia="MS PGothic" w:hAnsiTheme="minorHAnsi" w:cstheme="minorHAnsi"/>
                <w:b/>
                <w:i/>
                <w:sz w:val="20"/>
                <w:szCs w:val="20"/>
              </w:rPr>
              <w:t>Faculty.</w:t>
            </w:r>
          </w:p>
        </w:tc>
        <w:tc>
          <w:tcPr>
            <w:tcW w:w="810" w:type="dxa"/>
          </w:tcPr>
          <w:p w:rsidR="00B534F3" w:rsidRPr="0079635C" w:rsidRDefault="00B534F3" w:rsidP="00C053C2">
            <w:pPr>
              <w:spacing w:line="276" w:lineRule="auto"/>
              <w:ind w:left="425"/>
              <w:rPr>
                <w:rFonts w:eastAsia="MS PGothic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69" w:type="dxa"/>
          </w:tcPr>
          <w:p w:rsidR="00B534F3" w:rsidRPr="0079635C" w:rsidRDefault="00B534F3" w:rsidP="00C053C2">
            <w:pPr>
              <w:spacing w:line="276" w:lineRule="auto"/>
              <w:ind w:left="425"/>
              <w:rPr>
                <w:rFonts w:eastAsia="MS PGothic" w:cstheme="minorHAnsi"/>
                <w:b/>
                <w:bCs/>
                <w:iCs/>
                <w:sz w:val="20"/>
                <w:szCs w:val="20"/>
              </w:rPr>
            </w:pPr>
          </w:p>
        </w:tc>
      </w:tr>
      <w:tr w:rsidR="00B534F3" w:rsidRPr="0079635C" w:rsidTr="00B534F3">
        <w:tc>
          <w:tcPr>
            <w:tcW w:w="6030" w:type="dxa"/>
          </w:tcPr>
          <w:p w:rsidR="00B534F3" w:rsidRPr="00DF40DD" w:rsidRDefault="00B534F3" w:rsidP="00B534F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699" w:hanging="270"/>
              <w:rPr>
                <w:rFonts w:asciiTheme="minorHAnsi" w:eastAsia="MS PGothic" w:hAnsiTheme="minorHAnsi" w:cstheme="minorHAnsi"/>
                <w:b/>
                <w:bCs/>
                <w:iCs/>
                <w:sz w:val="20"/>
                <w:szCs w:val="20"/>
              </w:rPr>
            </w:pPr>
            <w:r w:rsidRPr="00DF40DD">
              <w:rPr>
                <w:rFonts w:asciiTheme="minorHAnsi" w:eastAsia="MS PGothic" w:hAnsiTheme="minorHAnsi" w:cstheme="minorHAnsi"/>
                <w:b/>
                <w:i/>
                <w:sz w:val="20"/>
                <w:szCs w:val="20"/>
              </w:rPr>
              <w:t>Employers</w:t>
            </w:r>
            <w:r>
              <w:rPr>
                <w:rFonts w:asciiTheme="minorHAnsi" w:eastAsia="MS PGothic" w:hAnsiTheme="minorHAnsi" w:cstheme="minorHAnsi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B534F3" w:rsidRPr="0079635C" w:rsidRDefault="00B534F3" w:rsidP="00C053C2">
            <w:pPr>
              <w:spacing w:line="276" w:lineRule="auto"/>
              <w:ind w:left="425"/>
              <w:rPr>
                <w:rFonts w:eastAsia="MS PGothic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69" w:type="dxa"/>
          </w:tcPr>
          <w:p w:rsidR="00B534F3" w:rsidRPr="0079635C" w:rsidRDefault="00B534F3" w:rsidP="00C053C2">
            <w:pPr>
              <w:spacing w:line="276" w:lineRule="auto"/>
              <w:ind w:left="425"/>
              <w:rPr>
                <w:rFonts w:eastAsia="MS PGothic" w:cstheme="minorHAnsi"/>
                <w:b/>
                <w:bCs/>
                <w:iCs/>
                <w:sz w:val="20"/>
                <w:szCs w:val="20"/>
              </w:rPr>
            </w:pPr>
          </w:p>
        </w:tc>
      </w:tr>
      <w:tr w:rsidR="00B534F3" w:rsidRPr="0079635C" w:rsidTr="00B534F3">
        <w:tc>
          <w:tcPr>
            <w:tcW w:w="6030" w:type="dxa"/>
          </w:tcPr>
          <w:p w:rsidR="00B534F3" w:rsidRPr="00DF40DD" w:rsidRDefault="00B534F3" w:rsidP="00B534F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699" w:hanging="270"/>
              <w:rPr>
                <w:rFonts w:asciiTheme="minorHAnsi" w:eastAsia="MS PGothic" w:hAnsiTheme="minorHAnsi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asciiTheme="minorHAnsi" w:eastAsia="MS PGothic" w:hAnsiTheme="minorHAnsi" w:cstheme="minorHAnsi"/>
                <w:b/>
                <w:i/>
                <w:sz w:val="20"/>
                <w:szCs w:val="20"/>
              </w:rPr>
              <w:t>Leadership.</w:t>
            </w:r>
          </w:p>
        </w:tc>
        <w:tc>
          <w:tcPr>
            <w:tcW w:w="810" w:type="dxa"/>
          </w:tcPr>
          <w:p w:rsidR="00B534F3" w:rsidRPr="0079635C" w:rsidRDefault="00B534F3" w:rsidP="00C053C2">
            <w:pPr>
              <w:spacing w:line="276" w:lineRule="auto"/>
              <w:ind w:left="425"/>
              <w:rPr>
                <w:rFonts w:eastAsia="MS PGothic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69" w:type="dxa"/>
          </w:tcPr>
          <w:p w:rsidR="00B534F3" w:rsidRPr="0079635C" w:rsidRDefault="00B534F3" w:rsidP="00C053C2">
            <w:pPr>
              <w:spacing w:line="276" w:lineRule="auto"/>
              <w:ind w:left="425"/>
              <w:rPr>
                <w:rFonts w:eastAsia="MS PGothic" w:cstheme="minorHAnsi"/>
                <w:b/>
                <w:bCs/>
                <w:iCs/>
                <w:sz w:val="20"/>
                <w:szCs w:val="20"/>
              </w:rPr>
            </w:pPr>
          </w:p>
        </w:tc>
      </w:tr>
      <w:tr w:rsidR="00B534F3" w:rsidRPr="0079635C" w:rsidTr="00B534F3">
        <w:tc>
          <w:tcPr>
            <w:tcW w:w="6030" w:type="dxa"/>
          </w:tcPr>
          <w:p w:rsidR="00B534F3" w:rsidRPr="0079635C" w:rsidRDefault="00B534F3" w:rsidP="00B534F3">
            <w:pPr>
              <w:numPr>
                <w:ilvl w:val="0"/>
                <w:numId w:val="3"/>
              </w:numPr>
              <w:spacing w:line="276" w:lineRule="auto"/>
              <w:ind w:left="425"/>
              <w:rPr>
                <w:rFonts w:cstheme="minorHAnsi"/>
                <w:sz w:val="20"/>
                <w:szCs w:val="20"/>
              </w:rPr>
            </w:pPr>
            <w:r w:rsidRPr="0079635C">
              <w:rPr>
                <w:rFonts w:eastAsia="MS PGothic" w:cstheme="minorHAnsi"/>
                <w:b/>
                <w:bCs/>
                <w:iCs/>
                <w:sz w:val="20"/>
                <w:szCs w:val="20"/>
              </w:rPr>
              <w:t xml:space="preserve">Culture </w:t>
            </w:r>
            <w:r>
              <w:rPr>
                <w:rFonts w:eastAsia="MS PGothic" w:cstheme="minorHAnsi"/>
                <w:b/>
                <w:bCs/>
                <w:iCs/>
                <w:sz w:val="20"/>
                <w:szCs w:val="20"/>
              </w:rPr>
              <w:t>s</w:t>
            </w:r>
            <w:r w:rsidRPr="0079635C">
              <w:rPr>
                <w:rFonts w:eastAsia="MS PGothic" w:cstheme="minorHAnsi"/>
                <w:b/>
                <w:bCs/>
                <w:iCs/>
                <w:sz w:val="20"/>
                <w:szCs w:val="20"/>
              </w:rPr>
              <w:t>hift.</w:t>
            </w:r>
            <w:r w:rsidRPr="0079635C">
              <w:rPr>
                <w:rFonts w:eastAsia="MS PGothic" w:cstheme="minorHAnsi"/>
                <w:sz w:val="20"/>
                <w:szCs w:val="20"/>
              </w:rPr>
              <w:t xml:space="preserve"> </w:t>
            </w:r>
            <w:r>
              <w:rPr>
                <w:rFonts w:eastAsia="MS PGothic" w:cstheme="minorHAnsi"/>
                <w:sz w:val="20"/>
                <w:szCs w:val="20"/>
              </w:rPr>
              <w:t>A</w:t>
            </w:r>
            <w:r w:rsidRPr="0079635C">
              <w:rPr>
                <w:rFonts w:eastAsia="MS PGothic" w:cstheme="minorHAnsi"/>
                <w:sz w:val="20"/>
                <w:szCs w:val="20"/>
              </w:rPr>
              <w:t xml:space="preserve"> culture that values and supports WBL across the curriculum</w:t>
            </w:r>
          </w:p>
        </w:tc>
        <w:tc>
          <w:tcPr>
            <w:tcW w:w="810" w:type="dxa"/>
          </w:tcPr>
          <w:p w:rsidR="00B534F3" w:rsidRPr="0079635C" w:rsidRDefault="00B534F3" w:rsidP="00C053C2">
            <w:pPr>
              <w:spacing w:line="276" w:lineRule="auto"/>
              <w:ind w:left="425"/>
              <w:rPr>
                <w:rFonts w:eastAsia="MS PGothic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69" w:type="dxa"/>
          </w:tcPr>
          <w:p w:rsidR="00B534F3" w:rsidRPr="0079635C" w:rsidRDefault="00B534F3" w:rsidP="00C053C2">
            <w:pPr>
              <w:spacing w:line="276" w:lineRule="auto"/>
              <w:ind w:left="425"/>
              <w:rPr>
                <w:rFonts w:eastAsia="MS PGothic" w:cstheme="minorHAnsi"/>
                <w:b/>
                <w:bCs/>
                <w:iCs/>
                <w:sz w:val="20"/>
                <w:szCs w:val="20"/>
              </w:rPr>
            </w:pPr>
          </w:p>
        </w:tc>
      </w:tr>
      <w:tr w:rsidR="00B534F3" w:rsidRPr="000202C8" w:rsidTr="00B534F3">
        <w:tc>
          <w:tcPr>
            <w:tcW w:w="6030" w:type="dxa"/>
          </w:tcPr>
          <w:p w:rsidR="00B534F3" w:rsidRPr="0079635C" w:rsidRDefault="00B534F3" w:rsidP="00B534F3">
            <w:pPr>
              <w:numPr>
                <w:ilvl w:val="1"/>
                <w:numId w:val="8"/>
              </w:numPr>
              <w:spacing w:line="276" w:lineRule="auto"/>
              <w:ind w:left="699" w:hanging="270"/>
              <w:rPr>
                <w:rFonts w:cstheme="minorHAnsi"/>
                <w:sz w:val="20"/>
                <w:szCs w:val="20"/>
              </w:rPr>
            </w:pPr>
            <w:r w:rsidRPr="000202C8">
              <w:rPr>
                <w:rFonts w:eastAsia="MS PGothic" w:cstheme="minorHAnsi"/>
                <w:b/>
                <w:i/>
                <w:sz w:val="20"/>
                <w:szCs w:val="20"/>
              </w:rPr>
              <w:t>Internally.</w:t>
            </w:r>
            <w:r w:rsidRPr="0079635C">
              <w:rPr>
                <w:rFonts w:eastAsia="MS PGothic" w:cstheme="minorHAnsi"/>
                <w:sz w:val="20"/>
                <w:szCs w:val="20"/>
              </w:rPr>
              <w:t xml:space="preserve"> Ensuring that all faculty understand the value and purposes of WBL</w:t>
            </w:r>
          </w:p>
        </w:tc>
        <w:tc>
          <w:tcPr>
            <w:tcW w:w="810" w:type="dxa"/>
          </w:tcPr>
          <w:p w:rsidR="00B534F3" w:rsidRPr="000202C8" w:rsidRDefault="00B534F3" w:rsidP="00C053C2">
            <w:pPr>
              <w:spacing w:line="276" w:lineRule="auto"/>
              <w:ind w:left="425"/>
              <w:rPr>
                <w:rFonts w:eastAsia="MS PGothic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469" w:type="dxa"/>
          </w:tcPr>
          <w:p w:rsidR="00B534F3" w:rsidRPr="000202C8" w:rsidRDefault="00B534F3" w:rsidP="00C053C2">
            <w:pPr>
              <w:spacing w:line="276" w:lineRule="auto"/>
              <w:ind w:left="425"/>
              <w:rPr>
                <w:rFonts w:eastAsia="MS PGothic" w:cstheme="minorHAnsi"/>
                <w:b/>
                <w:i/>
                <w:sz w:val="20"/>
                <w:szCs w:val="20"/>
              </w:rPr>
            </w:pPr>
          </w:p>
        </w:tc>
      </w:tr>
      <w:tr w:rsidR="00B534F3" w:rsidRPr="000202C8" w:rsidTr="00B534F3">
        <w:tc>
          <w:tcPr>
            <w:tcW w:w="6030" w:type="dxa"/>
            <w:tcBorders>
              <w:bottom w:val="single" w:sz="4" w:space="0" w:color="auto"/>
            </w:tcBorders>
          </w:tcPr>
          <w:p w:rsidR="00B534F3" w:rsidRPr="0079635C" w:rsidRDefault="00B534F3" w:rsidP="00B534F3">
            <w:pPr>
              <w:numPr>
                <w:ilvl w:val="1"/>
                <w:numId w:val="8"/>
              </w:numPr>
              <w:spacing w:line="276" w:lineRule="auto"/>
              <w:ind w:left="699" w:hanging="270"/>
              <w:rPr>
                <w:rFonts w:cstheme="minorHAnsi"/>
                <w:sz w:val="20"/>
                <w:szCs w:val="20"/>
              </w:rPr>
            </w:pPr>
            <w:r w:rsidRPr="000202C8">
              <w:rPr>
                <w:rFonts w:eastAsia="MS PGothic" w:cstheme="minorHAnsi"/>
                <w:b/>
                <w:i/>
                <w:sz w:val="20"/>
                <w:szCs w:val="20"/>
              </w:rPr>
              <w:t>Externally.</w:t>
            </w:r>
            <w:r w:rsidRPr="0079635C">
              <w:rPr>
                <w:rFonts w:eastAsia="MS PGothic" w:cstheme="minorHAnsi"/>
                <w:sz w:val="20"/>
                <w:szCs w:val="20"/>
              </w:rPr>
              <w:t xml:space="preserve"> Marketing the purposes and value of work-based learning for students, employers, and communities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534F3" w:rsidRPr="000202C8" w:rsidRDefault="00B534F3" w:rsidP="00C053C2">
            <w:pPr>
              <w:spacing w:line="276" w:lineRule="auto"/>
              <w:ind w:left="695"/>
              <w:rPr>
                <w:rFonts w:eastAsia="MS PGothic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B534F3" w:rsidRPr="000202C8" w:rsidRDefault="00B534F3" w:rsidP="00C053C2">
            <w:pPr>
              <w:spacing w:line="276" w:lineRule="auto"/>
              <w:ind w:left="695"/>
              <w:rPr>
                <w:rFonts w:eastAsia="MS PGothic" w:cstheme="minorHAnsi"/>
                <w:b/>
                <w:i/>
                <w:sz w:val="20"/>
                <w:szCs w:val="20"/>
              </w:rPr>
            </w:pPr>
          </w:p>
        </w:tc>
      </w:tr>
      <w:tr w:rsidR="00B534F3" w:rsidRPr="0079635C" w:rsidTr="00B534F3">
        <w:tc>
          <w:tcPr>
            <w:tcW w:w="6030" w:type="dxa"/>
            <w:shd w:val="clear" w:color="auto" w:fill="8EAADB" w:themeFill="accent1" w:themeFillTint="99"/>
          </w:tcPr>
          <w:p w:rsidR="00B534F3" w:rsidRPr="0079635C" w:rsidRDefault="00B534F3" w:rsidP="00C053C2">
            <w:pPr>
              <w:pStyle w:val="Heading-2"/>
              <w:spacing w:after="100"/>
              <w:rPr>
                <w:rFonts w:asciiTheme="minorHAnsi" w:hAnsiTheme="minorHAnsi" w:cstheme="minorHAnsi"/>
                <w:sz w:val="20"/>
              </w:rPr>
            </w:pPr>
            <w:r w:rsidRPr="0079635C">
              <w:rPr>
                <w:rFonts w:asciiTheme="minorHAnsi" w:hAnsiTheme="minorHAnsi" w:cstheme="minorHAnsi"/>
                <w:sz w:val="20"/>
              </w:rPr>
              <w:t xml:space="preserve">Structural Factors </w:t>
            </w:r>
          </w:p>
        </w:tc>
        <w:tc>
          <w:tcPr>
            <w:tcW w:w="810" w:type="dxa"/>
            <w:shd w:val="clear" w:color="auto" w:fill="8EAADB" w:themeFill="accent1" w:themeFillTint="99"/>
          </w:tcPr>
          <w:p w:rsidR="00B534F3" w:rsidRPr="0079635C" w:rsidRDefault="00B534F3" w:rsidP="00C053C2">
            <w:pPr>
              <w:pStyle w:val="Heading-2"/>
              <w:spacing w:after="10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69" w:type="dxa"/>
            <w:shd w:val="clear" w:color="auto" w:fill="8EAADB" w:themeFill="accent1" w:themeFillTint="99"/>
          </w:tcPr>
          <w:p w:rsidR="00B534F3" w:rsidRPr="0079635C" w:rsidRDefault="00B534F3" w:rsidP="00C053C2">
            <w:pPr>
              <w:pStyle w:val="Heading-2"/>
              <w:spacing w:after="100"/>
              <w:rPr>
                <w:rFonts w:asciiTheme="minorHAnsi" w:hAnsiTheme="minorHAnsi" w:cstheme="minorHAnsi"/>
                <w:sz w:val="20"/>
              </w:rPr>
            </w:pPr>
          </w:p>
        </w:tc>
      </w:tr>
      <w:tr w:rsidR="00B534F3" w:rsidRPr="0079635C" w:rsidTr="00B534F3">
        <w:tc>
          <w:tcPr>
            <w:tcW w:w="6030" w:type="dxa"/>
          </w:tcPr>
          <w:p w:rsidR="00B534F3" w:rsidRPr="0079635C" w:rsidRDefault="00B534F3" w:rsidP="00C053C2">
            <w:pPr>
              <w:pStyle w:val="Header"/>
              <w:widowControl w:val="0"/>
              <w:numPr>
                <w:ilvl w:val="0"/>
                <w:numId w:val="1"/>
              </w:numPr>
              <w:tabs>
                <w:tab w:val="clear" w:pos="1080"/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after="40"/>
              <w:ind w:left="425"/>
              <w:rPr>
                <w:rFonts w:asciiTheme="minorHAnsi" w:hAnsiTheme="minorHAnsi" w:cstheme="minorHAnsi"/>
                <w:sz w:val="20"/>
              </w:rPr>
            </w:pPr>
            <w:r w:rsidRPr="0079635C">
              <w:rPr>
                <w:rFonts w:asciiTheme="minorHAnsi" w:hAnsiTheme="minorHAnsi" w:cstheme="minorHAnsi"/>
                <w:b/>
                <w:bCs/>
                <w:sz w:val="20"/>
              </w:rPr>
              <w:t>Connection to curriculum.</w:t>
            </w:r>
            <w:r w:rsidRPr="0079635C">
              <w:rPr>
                <w:rFonts w:asciiTheme="minorHAnsi" w:hAnsiTheme="minorHAnsi" w:cstheme="minorHAnsi"/>
                <w:sz w:val="20"/>
              </w:rPr>
              <w:t xml:space="preserve"> Experiences are connected to thematic programs and to student interests.</w:t>
            </w:r>
          </w:p>
        </w:tc>
        <w:tc>
          <w:tcPr>
            <w:tcW w:w="810" w:type="dxa"/>
          </w:tcPr>
          <w:p w:rsidR="00B534F3" w:rsidRPr="0079635C" w:rsidRDefault="00B534F3" w:rsidP="00C053C2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after="40"/>
              <w:ind w:left="425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469" w:type="dxa"/>
          </w:tcPr>
          <w:p w:rsidR="00B534F3" w:rsidRPr="0079635C" w:rsidRDefault="00B534F3" w:rsidP="00C053C2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after="40"/>
              <w:ind w:left="425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B534F3" w:rsidRPr="0079635C" w:rsidTr="00B534F3">
        <w:tc>
          <w:tcPr>
            <w:tcW w:w="6030" w:type="dxa"/>
          </w:tcPr>
          <w:p w:rsidR="00B534F3" w:rsidRPr="0079635C" w:rsidRDefault="00B534F3" w:rsidP="00C053C2">
            <w:pPr>
              <w:pStyle w:val="Header"/>
              <w:widowControl w:val="0"/>
              <w:numPr>
                <w:ilvl w:val="0"/>
                <w:numId w:val="1"/>
              </w:numPr>
              <w:tabs>
                <w:tab w:val="clear" w:pos="1080"/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after="40"/>
              <w:ind w:left="425"/>
              <w:rPr>
                <w:rFonts w:asciiTheme="minorHAnsi" w:hAnsiTheme="minorHAnsi" w:cstheme="minorHAnsi"/>
                <w:sz w:val="20"/>
              </w:rPr>
            </w:pPr>
            <w:r w:rsidRPr="0079635C">
              <w:rPr>
                <w:rFonts w:asciiTheme="minorHAnsi" w:hAnsiTheme="minorHAnsi" w:cstheme="minorHAnsi"/>
                <w:b/>
                <w:bCs/>
                <w:sz w:val="20"/>
              </w:rPr>
              <w:t>Sequencing.</w:t>
            </w:r>
            <w:r w:rsidRPr="0079635C">
              <w:rPr>
                <w:rFonts w:asciiTheme="minorHAnsi" w:hAnsiTheme="minorHAnsi" w:cstheme="minorHAnsi"/>
                <w:sz w:val="20"/>
              </w:rPr>
              <w:t xml:space="preserve"> Experiences are sequenced — work-based learning follows some career exploration and leads to next steps. </w:t>
            </w:r>
          </w:p>
        </w:tc>
        <w:tc>
          <w:tcPr>
            <w:tcW w:w="810" w:type="dxa"/>
          </w:tcPr>
          <w:p w:rsidR="00B534F3" w:rsidRPr="0079635C" w:rsidRDefault="00B534F3" w:rsidP="00C053C2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after="40"/>
              <w:ind w:left="425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469" w:type="dxa"/>
          </w:tcPr>
          <w:p w:rsidR="00B534F3" w:rsidRPr="0079635C" w:rsidRDefault="00B534F3" w:rsidP="00C053C2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after="40"/>
              <w:ind w:left="425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B534F3" w:rsidRPr="0079635C" w:rsidTr="00B534F3">
        <w:tc>
          <w:tcPr>
            <w:tcW w:w="6030" w:type="dxa"/>
          </w:tcPr>
          <w:p w:rsidR="00B534F3" w:rsidRPr="0079635C" w:rsidRDefault="00B534F3" w:rsidP="00C053C2">
            <w:pPr>
              <w:pStyle w:val="Header"/>
              <w:widowControl w:val="0"/>
              <w:numPr>
                <w:ilvl w:val="0"/>
                <w:numId w:val="1"/>
              </w:numPr>
              <w:tabs>
                <w:tab w:val="clear" w:pos="1080"/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after="40"/>
              <w:ind w:left="425"/>
              <w:rPr>
                <w:rFonts w:asciiTheme="minorHAnsi" w:hAnsiTheme="minorHAnsi" w:cstheme="minorHAnsi"/>
                <w:sz w:val="20"/>
              </w:rPr>
            </w:pPr>
            <w:r w:rsidRPr="0079635C">
              <w:rPr>
                <w:rFonts w:asciiTheme="minorHAnsi" w:hAnsiTheme="minorHAnsi" w:cstheme="minorHAnsi"/>
                <w:b/>
                <w:bCs/>
                <w:sz w:val="20"/>
              </w:rPr>
              <w:t>Coordination of support.</w:t>
            </w:r>
            <w:r w:rsidRPr="0079635C">
              <w:rPr>
                <w:rFonts w:asciiTheme="minorHAnsi" w:hAnsiTheme="minorHAnsi" w:cstheme="minorHAnsi"/>
                <w:sz w:val="20"/>
              </w:rPr>
              <w:t xml:space="preserve"> Faculty, counselors, and other staff at the school coordinate their services to support students in work-based learning.</w:t>
            </w:r>
          </w:p>
        </w:tc>
        <w:tc>
          <w:tcPr>
            <w:tcW w:w="810" w:type="dxa"/>
          </w:tcPr>
          <w:p w:rsidR="00B534F3" w:rsidRPr="0079635C" w:rsidRDefault="00B534F3" w:rsidP="00C053C2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after="40"/>
              <w:ind w:left="425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469" w:type="dxa"/>
          </w:tcPr>
          <w:p w:rsidR="00B534F3" w:rsidRPr="0079635C" w:rsidRDefault="00B534F3" w:rsidP="00C053C2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after="40"/>
              <w:ind w:left="425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B534F3" w:rsidRPr="0079635C" w:rsidTr="00B534F3">
        <w:tc>
          <w:tcPr>
            <w:tcW w:w="6030" w:type="dxa"/>
          </w:tcPr>
          <w:p w:rsidR="00B534F3" w:rsidRPr="0079635C" w:rsidRDefault="00B534F3" w:rsidP="00C053C2">
            <w:pPr>
              <w:pStyle w:val="Header"/>
              <w:widowControl w:val="0"/>
              <w:numPr>
                <w:ilvl w:val="0"/>
                <w:numId w:val="1"/>
              </w:numPr>
              <w:tabs>
                <w:tab w:val="clear" w:pos="1080"/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after="40"/>
              <w:ind w:left="425"/>
              <w:rPr>
                <w:rFonts w:asciiTheme="minorHAnsi" w:hAnsiTheme="minorHAnsi" w:cstheme="minorHAnsi"/>
                <w:sz w:val="20"/>
              </w:rPr>
            </w:pPr>
            <w:r w:rsidRPr="0079635C">
              <w:rPr>
                <w:rFonts w:asciiTheme="minorHAnsi" w:hAnsiTheme="minorHAnsi" w:cstheme="minorHAnsi"/>
                <w:b/>
                <w:bCs/>
                <w:sz w:val="20"/>
              </w:rPr>
              <w:t>Planning for next steps.</w:t>
            </w:r>
            <w:r w:rsidRPr="0079635C">
              <w:rPr>
                <w:rFonts w:asciiTheme="minorHAnsi" w:hAnsiTheme="minorHAnsi" w:cstheme="minorHAnsi"/>
                <w:sz w:val="20"/>
              </w:rPr>
              <w:t xml:space="preserve"> Students reconnect with counselors to adjust education and career plans as needed; partnerships are created with other institutions, apprenticeship, and job training programs to facilitate transitions to next steps.</w:t>
            </w:r>
          </w:p>
        </w:tc>
        <w:tc>
          <w:tcPr>
            <w:tcW w:w="810" w:type="dxa"/>
          </w:tcPr>
          <w:p w:rsidR="00B534F3" w:rsidRPr="0079635C" w:rsidRDefault="00B534F3" w:rsidP="00C053C2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after="40"/>
              <w:ind w:left="425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469" w:type="dxa"/>
          </w:tcPr>
          <w:p w:rsidR="00B534F3" w:rsidRPr="0079635C" w:rsidRDefault="00B534F3" w:rsidP="00C053C2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after="40"/>
              <w:ind w:left="425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B534F3" w:rsidRPr="0079635C" w:rsidTr="00B534F3">
        <w:tc>
          <w:tcPr>
            <w:tcW w:w="6030" w:type="dxa"/>
          </w:tcPr>
          <w:p w:rsidR="00B534F3" w:rsidRPr="0079635C" w:rsidRDefault="00B534F3" w:rsidP="00C053C2">
            <w:pPr>
              <w:pStyle w:val="Header"/>
              <w:widowControl w:val="0"/>
              <w:numPr>
                <w:ilvl w:val="0"/>
                <w:numId w:val="1"/>
              </w:numPr>
              <w:tabs>
                <w:tab w:val="clear" w:pos="1080"/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after="40"/>
              <w:ind w:left="425"/>
              <w:rPr>
                <w:rFonts w:asciiTheme="minorHAnsi" w:hAnsiTheme="minorHAnsi" w:cstheme="minorHAnsi"/>
                <w:sz w:val="20"/>
              </w:rPr>
            </w:pPr>
            <w:r w:rsidRPr="0079635C">
              <w:rPr>
                <w:rFonts w:asciiTheme="minorHAnsi" w:hAnsiTheme="minorHAnsi" w:cstheme="minorHAnsi"/>
                <w:b/>
                <w:bCs/>
                <w:sz w:val="20"/>
              </w:rPr>
              <w:t>Adequate staffing.</w:t>
            </w:r>
            <w:r w:rsidRPr="0079635C">
              <w:rPr>
                <w:rFonts w:asciiTheme="minorHAnsi" w:hAnsiTheme="minorHAnsi" w:cstheme="minorHAnsi"/>
                <w:sz w:val="20"/>
              </w:rPr>
              <w:t xml:space="preserve"> The work-based learning coordination function is adequately staffed.</w:t>
            </w:r>
          </w:p>
        </w:tc>
        <w:tc>
          <w:tcPr>
            <w:tcW w:w="810" w:type="dxa"/>
          </w:tcPr>
          <w:p w:rsidR="00B534F3" w:rsidRPr="0079635C" w:rsidRDefault="00B534F3" w:rsidP="00C053C2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after="40"/>
              <w:ind w:left="425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469" w:type="dxa"/>
          </w:tcPr>
          <w:p w:rsidR="00B534F3" w:rsidRPr="0079635C" w:rsidRDefault="00B534F3" w:rsidP="00C053C2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after="40"/>
              <w:ind w:left="425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B534F3" w:rsidRPr="0079635C" w:rsidTr="00B534F3">
        <w:tc>
          <w:tcPr>
            <w:tcW w:w="6030" w:type="dxa"/>
          </w:tcPr>
          <w:p w:rsidR="00B534F3" w:rsidRPr="0079635C" w:rsidRDefault="00B534F3" w:rsidP="00C053C2">
            <w:pPr>
              <w:widowControl w:val="0"/>
              <w:numPr>
                <w:ilvl w:val="0"/>
                <w:numId w:val="1"/>
              </w:numPr>
              <w:tabs>
                <w:tab w:val="clear" w:pos="1080"/>
              </w:tabs>
              <w:spacing w:after="40"/>
              <w:ind w:left="425"/>
              <w:rPr>
                <w:rFonts w:cstheme="minorHAnsi"/>
                <w:sz w:val="20"/>
              </w:rPr>
            </w:pPr>
            <w:r w:rsidRPr="0079635C">
              <w:rPr>
                <w:rFonts w:cstheme="minorHAnsi"/>
                <w:b/>
                <w:bCs/>
                <w:sz w:val="20"/>
              </w:rPr>
              <w:t>Scheduling that works.</w:t>
            </w:r>
            <w:r w:rsidRPr="0079635C">
              <w:rPr>
                <w:rFonts w:cstheme="minorHAnsi"/>
                <w:sz w:val="20"/>
              </w:rPr>
              <w:t xml:space="preserve"> Scheduling enables </w:t>
            </w:r>
            <w:r>
              <w:rPr>
                <w:rFonts w:cstheme="minorHAnsi"/>
                <w:sz w:val="20"/>
              </w:rPr>
              <w:t>WBL</w:t>
            </w:r>
            <w:r w:rsidRPr="0079635C">
              <w:rPr>
                <w:rFonts w:cstheme="minorHAnsi"/>
                <w:sz w:val="20"/>
              </w:rPr>
              <w:t>; when students are already working, innovative approaches are explored to add a learning dimension to existing jobs.</w:t>
            </w:r>
          </w:p>
        </w:tc>
        <w:tc>
          <w:tcPr>
            <w:tcW w:w="810" w:type="dxa"/>
          </w:tcPr>
          <w:p w:rsidR="00B534F3" w:rsidRPr="0079635C" w:rsidRDefault="00B534F3" w:rsidP="00C053C2">
            <w:pPr>
              <w:widowControl w:val="0"/>
              <w:spacing w:after="40"/>
              <w:ind w:left="425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3469" w:type="dxa"/>
          </w:tcPr>
          <w:p w:rsidR="00B534F3" w:rsidRPr="0079635C" w:rsidRDefault="00B534F3" w:rsidP="00C053C2">
            <w:pPr>
              <w:widowControl w:val="0"/>
              <w:spacing w:after="40"/>
              <w:ind w:left="425"/>
              <w:rPr>
                <w:rFonts w:cstheme="minorHAnsi"/>
                <w:b/>
                <w:bCs/>
                <w:sz w:val="20"/>
              </w:rPr>
            </w:pPr>
          </w:p>
        </w:tc>
      </w:tr>
      <w:tr w:rsidR="00B534F3" w:rsidRPr="0079635C" w:rsidTr="00B534F3">
        <w:tc>
          <w:tcPr>
            <w:tcW w:w="6030" w:type="dxa"/>
            <w:tcBorders>
              <w:bottom w:val="single" w:sz="4" w:space="0" w:color="auto"/>
            </w:tcBorders>
          </w:tcPr>
          <w:p w:rsidR="00B534F3" w:rsidRDefault="00B534F3" w:rsidP="00C053C2">
            <w:pPr>
              <w:widowControl w:val="0"/>
              <w:numPr>
                <w:ilvl w:val="0"/>
                <w:numId w:val="1"/>
              </w:numPr>
              <w:tabs>
                <w:tab w:val="clear" w:pos="1080"/>
              </w:tabs>
              <w:spacing w:after="40"/>
              <w:ind w:left="425"/>
              <w:rPr>
                <w:rFonts w:cstheme="minorHAnsi"/>
                <w:sz w:val="20"/>
              </w:rPr>
            </w:pPr>
            <w:r w:rsidRPr="0079635C">
              <w:rPr>
                <w:rFonts w:cstheme="minorHAnsi"/>
                <w:b/>
                <w:bCs/>
                <w:sz w:val="20"/>
              </w:rPr>
              <w:t>Compliance and risk management.</w:t>
            </w:r>
            <w:r w:rsidRPr="0079635C">
              <w:rPr>
                <w:rFonts w:cstheme="minorHAnsi"/>
                <w:sz w:val="20"/>
              </w:rPr>
              <w:t xml:space="preserve">  A process exists to ensure compliance with state and federal laws and adequate liability and worker’s compensation insurance. </w:t>
            </w:r>
          </w:p>
          <w:p w:rsidR="00B534F3" w:rsidRDefault="00B534F3" w:rsidP="00B534F3">
            <w:pPr>
              <w:widowControl w:val="0"/>
              <w:spacing w:after="40"/>
              <w:rPr>
                <w:rFonts w:cstheme="minorHAnsi"/>
                <w:sz w:val="20"/>
              </w:rPr>
            </w:pPr>
          </w:p>
          <w:p w:rsidR="00B534F3" w:rsidRPr="0079635C" w:rsidRDefault="00B534F3" w:rsidP="00B534F3">
            <w:pPr>
              <w:widowControl w:val="0"/>
              <w:spacing w:after="40"/>
              <w:rPr>
                <w:rFonts w:cstheme="minorHAnsi"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534F3" w:rsidRPr="0079635C" w:rsidRDefault="00B534F3" w:rsidP="00C053C2">
            <w:pPr>
              <w:widowControl w:val="0"/>
              <w:spacing w:after="40"/>
              <w:ind w:left="425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B534F3" w:rsidRPr="0079635C" w:rsidRDefault="00B534F3" w:rsidP="00C053C2">
            <w:pPr>
              <w:widowControl w:val="0"/>
              <w:spacing w:after="40"/>
              <w:ind w:left="425"/>
              <w:rPr>
                <w:rFonts w:cstheme="minorHAnsi"/>
                <w:b/>
                <w:bCs/>
                <w:sz w:val="20"/>
              </w:rPr>
            </w:pPr>
          </w:p>
        </w:tc>
      </w:tr>
      <w:tr w:rsidR="00B534F3" w:rsidRPr="007D52E5" w:rsidTr="00B534F3">
        <w:tc>
          <w:tcPr>
            <w:tcW w:w="6030" w:type="dxa"/>
            <w:shd w:val="clear" w:color="auto" w:fill="2F5496" w:themeFill="accent1" w:themeFillShade="BF"/>
          </w:tcPr>
          <w:p w:rsidR="00B534F3" w:rsidRPr="007D52E5" w:rsidRDefault="00B534F3" w:rsidP="00C053C2">
            <w:pPr>
              <w:autoSpaceDE w:val="0"/>
              <w:autoSpaceDN w:val="0"/>
              <w:adjustRightInd w:val="0"/>
              <w:spacing w:after="10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D52E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lastRenderedPageBreak/>
              <w:t>FACTORS</w:t>
            </w:r>
          </w:p>
        </w:tc>
        <w:tc>
          <w:tcPr>
            <w:tcW w:w="810" w:type="dxa"/>
            <w:shd w:val="clear" w:color="auto" w:fill="2F5496" w:themeFill="accent1" w:themeFillShade="BF"/>
          </w:tcPr>
          <w:p w:rsidR="00B534F3" w:rsidRPr="007D52E5" w:rsidRDefault="00B534F3" w:rsidP="00C053C2">
            <w:pPr>
              <w:autoSpaceDE w:val="0"/>
              <w:autoSpaceDN w:val="0"/>
              <w:adjustRightInd w:val="0"/>
              <w:spacing w:after="10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D52E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1-4</w:t>
            </w:r>
          </w:p>
        </w:tc>
        <w:tc>
          <w:tcPr>
            <w:tcW w:w="3469" w:type="dxa"/>
            <w:shd w:val="clear" w:color="auto" w:fill="2F5496" w:themeFill="accent1" w:themeFillShade="BF"/>
          </w:tcPr>
          <w:p w:rsidR="00B534F3" w:rsidRPr="007D52E5" w:rsidRDefault="00B534F3" w:rsidP="00C053C2">
            <w:pPr>
              <w:autoSpaceDE w:val="0"/>
              <w:autoSpaceDN w:val="0"/>
              <w:adjustRightInd w:val="0"/>
              <w:spacing w:after="10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D52E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NOTES</w:t>
            </w:r>
          </w:p>
        </w:tc>
      </w:tr>
      <w:tr w:rsidR="00B534F3" w:rsidTr="00B534F3">
        <w:tc>
          <w:tcPr>
            <w:tcW w:w="6030" w:type="dxa"/>
            <w:shd w:val="clear" w:color="auto" w:fill="8EAADB" w:themeFill="accent1" w:themeFillTint="99"/>
          </w:tcPr>
          <w:p w:rsidR="00B534F3" w:rsidRPr="0079635C" w:rsidRDefault="00B534F3" w:rsidP="00C053C2">
            <w:pPr>
              <w:autoSpaceDE w:val="0"/>
              <w:autoSpaceDN w:val="0"/>
              <w:adjustRightInd w:val="0"/>
              <w:spacing w:after="10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Professional Learning Factors</w:t>
            </w:r>
            <w:r w:rsidRPr="0079635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8EAADB" w:themeFill="accent1" w:themeFillTint="99"/>
          </w:tcPr>
          <w:p w:rsidR="00B534F3" w:rsidRDefault="00B534F3" w:rsidP="00C053C2">
            <w:pPr>
              <w:autoSpaceDE w:val="0"/>
              <w:autoSpaceDN w:val="0"/>
              <w:adjustRightInd w:val="0"/>
              <w:spacing w:after="10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69" w:type="dxa"/>
            <w:shd w:val="clear" w:color="auto" w:fill="8EAADB" w:themeFill="accent1" w:themeFillTint="99"/>
          </w:tcPr>
          <w:p w:rsidR="00B534F3" w:rsidRDefault="00B534F3" w:rsidP="00C053C2">
            <w:pPr>
              <w:autoSpaceDE w:val="0"/>
              <w:autoSpaceDN w:val="0"/>
              <w:adjustRightInd w:val="0"/>
              <w:spacing w:after="10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534F3" w:rsidRPr="0079635C" w:rsidTr="00B534F3">
        <w:tc>
          <w:tcPr>
            <w:tcW w:w="6030" w:type="dxa"/>
          </w:tcPr>
          <w:p w:rsidR="00B534F3" w:rsidRPr="0079635C" w:rsidRDefault="00B534F3" w:rsidP="00B534F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2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635C">
              <w:rPr>
                <w:rFonts w:asciiTheme="minorHAnsi" w:eastAsia="MS PGothic" w:hAnsiTheme="minorHAnsi" w:cstheme="minorHAnsi"/>
                <w:bCs/>
                <w:sz w:val="20"/>
                <w:szCs w:val="20"/>
              </w:rPr>
              <w:t>Understanding the workplace</w:t>
            </w:r>
            <w:r>
              <w:rPr>
                <w:rFonts w:asciiTheme="minorHAnsi" w:eastAsia="MS PGothic" w:hAnsiTheme="minorHAnsi" w:cstheme="minorHAnsi"/>
                <w:bCs/>
                <w:sz w:val="20"/>
                <w:szCs w:val="20"/>
              </w:rPr>
              <w:t xml:space="preserve"> (in general and by industry)</w:t>
            </w:r>
            <w:r w:rsidRPr="0079635C">
              <w:rPr>
                <w:rFonts w:asciiTheme="minorHAnsi" w:eastAsia="MS PGothic" w:hAnsiTheme="minorHAnsi" w:cstheme="minorHAnsi"/>
                <w:bCs/>
                <w:sz w:val="20"/>
                <w:szCs w:val="20"/>
              </w:rPr>
              <w:t xml:space="preserve"> and opportunities for learning</w:t>
            </w:r>
            <w:r>
              <w:rPr>
                <w:rFonts w:asciiTheme="minorHAnsi" w:eastAsia="MS PGothic" w:hAnsiTheme="minorHAnsi" w:cstheme="minorHAnsi"/>
                <w:bCs/>
                <w:sz w:val="20"/>
                <w:szCs w:val="20"/>
              </w:rPr>
              <w:t xml:space="preserve"> through work</w:t>
            </w:r>
          </w:p>
        </w:tc>
        <w:tc>
          <w:tcPr>
            <w:tcW w:w="810" w:type="dxa"/>
          </w:tcPr>
          <w:p w:rsidR="00B534F3" w:rsidRPr="0079635C" w:rsidRDefault="00B534F3" w:rsidP="00C053C2">
            <w:pPr>
              <w:pStyle w:val="ListParagraph"/>
              <w:spacing w:line="276" w:lineRule="auto"/>
              <w:ind w:left="425"/>
              <w:rPr>
                <w:rFonts w:asciiTheme="minorHAnsi" w:eastAsia="MS PGothic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469" w:type="dxa"/>
          </w:tcPr>
          <w:p w:rsidR="00B534F3" w:rsidRPr="0079635C" w:rsidRDefault="00B534F3" w:rsidP="00C053C2">
            <w:pPr>
              <w:pStyle w:val="ListParagraph"/>
              <w:spacing w:line="276" w:lineRule="auto"/>
              <w:ind w:left="425"/>
              <w:rPr>
                <w:rFonts w:asciiTheme="minorHAnsi" w:eastAsia="MS PGothic" w:hAnsiTheme="minorHAnsi" w:cstheme="minorHAnsi"/>
                <w:bCs/>
                <w:sz w:val="20"/>
                <w:szCs w:val="20"/>
              </w:rPr>
            </w:pPr>
          </w:p>
        </w:tc>
      </w:tr>
      <w:tr w:rsidR="00B534F3" w:rsidRPr="0079635C" w:rsidTr="00B534F3">
        <w:tc>
          <w:tcPr>
            <w:tcW w:w="6030" w:type="dxa"/>
          </w:tcPr>
          <w:p w:rsidR="00B534F3" w:rsidRPr="0079635C" w:rsidRDefault="00B534F3" w:rsidP="00B534F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2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635C">
              <w:rPr>
                <w:rFonts w:asciiTheme="minorHAnsi" w:eastAsia="MS PGothic" w:hAnsiTheme="minorHAnsi" w:cstheme="minorHAnsi"/>
                <w:bCs/>
                <w:sz w:val="20"/>
                <w:szCs w:val="20"/>
              </w:rPr>
              <w:t>Matching students with opportunities and developing learning plans</w:t>
            </w:r>
          </w:p>
        </w:tc>
        <w:tc>
          <w:tcPr>
            <w:tcW w:w="810" w:type="dxa"/>
          </w:tcPr>
          <w:p w:rsidR="00B534F3" w:rsidRPr="0079635C" w:rsidRDefault="00B534F3" w:rsidP="00C053C2">
            <w:pPr>
              <w:pStyle w:val="ListParagraph"/>
              <w:spacing w:line="276" w:lineRule="auto"/>
              <w:ind w:left="425"/>
              <w:rPr>
                <w:rFonts w:asciiTheme="minorHAnsi" w:eastAsia="MS PGothic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469" w:type="dxa"/>
          </w:tcPr>
          <w:p w:rsidR="00B534F3" w:rsidRPr="0079635C" w:rsidRDefault="00B534F3" w:rsidP="00C053C2">
            <w:pPr>
              <w:pStyle w:val="ListParagraph"/>
              <w:spacing w:line="276" w:lineRule="auto"/>
              <w:ind w:left="425"/>
              <w:rPr>
                <w:rFonts w:asciiTheme="minorHAnsi" w:eastAsia="MS PGothic" w:hAnsiTheme="minorHAnsi" w:cstheme="minorHAnsi"/>
                <w:bCs/>
                <w:sz w:val="20"/>
                <w:szCs w:val="20"/>
              </w:rPr>
            </w:pPr>
          </w:p>
        </w:tc>
      </w:tr>
      <w:tr w:rsidR="00B534F3" w:rsidRPr="0079635C" w:rsidTr="00B534F3">
        <w:tc>
          <w:tcPr>
            <w:tcW w:w="6030" w:type="dxa"/>
          </w:tcPr>
          <w:p w:rsidR="00B534F3" w:rsidRPr="0079635C" w:rsidRDefault="00B534F3" w:rsidP="00B534F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2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635C">
              <w:rPr>
                <w:rFonts w:asciiTheme="minorHAnsi" w:eastAsia="MS PGothic" w:hAnsiTheme="minorHAnsi" w:cstheme="minorHAnsi"/>
                <w:bCs/>
                <w:sz w:val="20"/>
                <w:szCs w:val="20"/>
              </w:rPr>
              <w:t>Linking work-based learning to the curriculum</w:t>
            </w:r>
          </w:p>
        </w:tc>
        <w:tc>
          <w:tcPr>
            <w:tcW w:w="810" w:type="dxa"/>
          </w:tcPr>
          <w:p w:rsidR="00B534F3" w:rsidRPr="0079635C" w:rsidRDefault="00B534F3" w:rsidP="00C053C2">
            <w:pPr>
              <w:pStyle w:val="ListParagraph"/>
              <w:spacing w:line="276" w:lineRule="auto"/>
              <w:ind w:left="425"/>
              <w:rPr>
                <w:rFonts w:asciiTheme="minorHAnsi" w:eastAsia="MS PGothic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469" w:type="dxa"/>
          </w:tcPr>
          <w:p w:rsidR="00B534F3" w:rsidRPr="0079635C" w:rsidRDefault="00B534F3" w:rsidP="00C053C2">
            <w:pPr>
              <w:pStyle w:val="ListParagraph"/>
              <w:spacing w:line="276" w:lineRule="auto"/>
              <w:ind w:left="425"/>
              <w:rPr>
                <w:rFonts w:asciiTheme="minorHAnsi" w:eastAsia="MS PGothic" w:hAnsiTheme="minorHAnsi" w:cstheme="minorHAnsi"/>
                <w:bCs/>
                <w:sz w:val="20"/>
                <w:szCs w:val="20"/>
              </w:rPr>
            </w:pPr>
          </w:p>
        </w:tc>
      </w:tr>
      <w:tr w:rsidR="00B534F3" w:rsidTr="00B534F3">
        <w:tc>
          <w:tcPr>
            <w:tcW w:w="6030" w:type="dxa"/>
          </w:tcPr>
          <w:p w:rsidR="00B534F3" w:rsidRPr="0079635C" w:rsidRDefault="00B534F3" w:rsidP="00B534F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2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MS PGothic" w:hAnsiTheme="minorHAnsi" w:cstheme="minorHAnsi"/>
                <w:bCs/>
                <w:sz w:val="20"/>
                <w:szCs w:val="20"/>
              </w:rPr>
              <w:t>Supporting the development</w:t>
            </w:r>
            <w:r w:rsidRPr="0079635C">
              <w:rPr>
                <w:rFonts w:asciiTheme="minorHAnsi" w:eastAsia="MS PGothic" w:hAnsiTheme="minorHAnsi" w:cstheme="minorHAnsi"/>
                <w:bCs/>
                <w:sz w:val="20"/>
                <w:szCs w:val="20"/>
              </w:rPr>
              <w:t xml:space="preserve"> of “21</w:t>
            </w:r>
            <w:r w:rsidRPr="0079635C">
              <w:rPr>
                <w:rFonts w:asciiTheme="minorHAnsi" w:eastAsia="MS PGothic" w:hAnsiTheme="minorHAnsi" w:cstheme="minorHAnsi"/>
                <w:bCs/>
                <w:sz w:val="20"/>
                <w:szCs w:val="20"/>
                <w:vertAlign w:val="superscript"/>
              </w:rPr>
              <w:t>st</w:t>
            </w:r>
            <w:r w:rsidRPr="0079635C">
              <w:rPr>
                <w:rFonts w:asciiTheme="minorHAnsi" w:eastAsia="MS PGothic" w:hAnsiTheme="minorHAnsi" w:cstheme="minorHAnsi"/>
                <w:bCs/>
                <w:sz w:val="20"/>
                <w:szCs w:val="20"/>
              </w:rPr>
              <w:t xml:space="preserve"> century skills” such as teamwork and “lifelong learning” in the classroom </w:t>
            </w:r>
            <w:r>
              <w:rPr>
                <w:rFonts w:asciiTheme="minorHAnsi" w:eastAsia="MS PGothic" w:hAnsiTheme="minorHAnsi" w:cstheme="minorHAnsi"/>
                <w:bCs/>
                <w:sz w:val="20"/>
                <w:szCs w:val="20"/>
              </w:rPr>
              <w:t>to enhance workplace experience</w:t>
            </w:r>
          </w:p>
        </w:tc>
        <w:tc>
          <w:tcPr>
            <w:tcW w:w="810" w:type="dxa"/>
          </w:tcPr>
          <w:p w:rsidR="00B534F3" w:rsidRDefault="00B534F3" w:rsidP="00C053C2">
            <w:pPr>
              <w:pStyle w:val="ListParagraph"/>
              <w:spacing w:line="276" w:lineRule="auto"/>
              <w:ind w:left="425"/>
              <w:rPr>
                <w:rFonts w:asciiTheme="minorHAnsi" w:eastAsia="MS PGothic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469" w:type="dxa"/>
          </w:tcPr>
          <w:p w:rsidR="00B534F3" w:rsidRDefault="00B534F3" w:rsidP="00C053C2">
            <w:pPr>
              <w:pStyle w:val="ListParagraph"/>
              <w:spacing w:line="276" w:lineRule="auto"/>
              <w:ind w:left="425"/>
              <w:rPr>
                <w:rFonts w:asciiTheme="minorHAnsi" w:eastAsia="MS PGothic" w:hAnsiTheme="minorHAnsi" w:cstheme="minorHAnsi"/>
                <w:bCs/>
                <w:sz w:val="20"/>
                <w:szCs w:val="20"/>
              </w:rPr>
            </w:pPr>
          </w:p>
        </w:tc>
      </w:tr>
      <w:tr w:rsidR="00B534F3" w:rsidRPr="0079635C" w:rsidTr="00B534F3">
        <w:tc>
          <w:tcPr>
            <w:tcW w:w="6030" w:type="dxa"/>
          </w:tcPr>
          <w:p w:rsidR="00B534F3" w:rsidRPr="0079635C" w:rsidRDefault="00B534F3" w:rsidP="00B534F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2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635C">
              <w:rPr>
                <w:rFonts w:asciiTheme="minorHAnsi" w:eastAsia="MS PGothic" w:hAnsiTheme="minorHAnsi" w:cstheme="minorHAnsi"/>
                <w:bCs/>
                <w:sz w:val="20"/>
                <w:szCs w:val="20"/>
              </w:rPr>
              <w:t xml:space="preserve">Facilitating student reflection on learning (regarding both content and implications for “next steps” toward </w:t>
            </w:r>
            <w:r>
              <w:rPr>
                <w:rFonts w:asciiTheme="minorHAnsi" w:eastAsia="MS PGothic" w:hAnsiTheme="minorHAnsi" w:cstheme="minorHAnsi"/>
                <w:bCs/>
                <w:sz w:val="20"/>
                <w:szCs w:val="20"/>
              </w:rPr>
              <w:t>further education</w:t>
            </w:r>
            <w:r w:rsidRPr="0079635C">
              <w:rPr>
                <w:rFonts w:asciiTheme="minorHAnsi" w:eastAsia="MS PGothic" w:hAnsiTheme="minorHAnsi" w:cstheme="minorHAnsi"/>
                <w:bCs/>
                <w:sz w:val="20"/>
                <w:szCs w:val="20"/>
              </w:rPr>
              <w:t xml:space="preserve"> and career</w:t>
            </w:r>
            <w:r>
              <w:rPr>
                <w:rFonts w:asciiTheme="minorHAnsi" w:eastAsia="MS PGothic" w:hAnsiTheme="minorHAnsi" w:cstheme="minorHAnsi"/>
                <w:bCs/>
                <w:sz w:val="20"/>
                <w:szCs w:val="20"/>
              </w:rPr>
              <w:t xml:space="preserve"> goals</w:t>
            </w:r>
            <w:r w:rsidRPr="0079635C">
              <w:rPr>
                <w:rFonts w:asciiTheme="minorHAnsi" w:eastAsia="MS PGothic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810" w:type="dxa"/>
          </w:tcPr>
          <w:p w:rsidR="00B534F3" w:rsidRPr="0079635C" w:rsidRDefault="00B534F3" w:rsidP="00C053C2">
            <w:pPr>
              <w:pStyle w:val="ListParagraph"/>
              <w:spacing w:line="276" w:lineRule="auto"/>
              <w:ind w:left="425"/>
              <w:rPr>
                <w:rFonts w:asciiTheme="minorHAnsi" w:eastAsia="MS PGothic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469" w:type="dxa"/>
          </w:tcPr>
          <w:p w:rsidR="00B534F3" w:rsidRPr="0079635C" w:rsidRDefault="00B534F3" w:rsidP="00C053C2">
            <w:pPr>
              <w:pStyle w:val="ListParagraph"/>
              <w:spacing w:line="276" w:lineRule="auto"/>
              <w:ind w:left="425"/>
              <w:rPr>
                <w:rFonts w:asciiTheme="minorHAnsi" w:eastAsia="MS PGothic" w:hAnsiTheme="minorHAnsi" w:cstheme="minorHAnsi"/>
                <w:bCs/>
                <w:sz w:val="20"/>
                <w:szCs w:val="20"/>
              </w:rPr>
            </w:pPr>
          </w:p>
        </w:tc>
      </w:tr>
      <w:tr w:rsidR="00B534F3" w:rsidRPr="0079635C" w:rsidTr="00B534F3">
        <w:tc>
          <w:tcPr>
            <w:tcW w:w="6030" w:type="dxa"/>
            <w:tcBorders>
              <w:bottom w:val="single" w:sz="4" w:space="0" w:color="auto"/>
            </w:tcBorders>
          </w:tcPr>
          <w:p w:rsidR="00B534F3" w:rsidRPr="0079635C" w:rsidRDefault="00B534F3" w:rsidP="00B534F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5"/>
              <w:rPr>
                <w:rFonts w:asciiTheme="minorHAnsi" w:hAnsiTheme="minorHAnsi" w:cstheme="minorHAnsi"/>
                <w:sz w:val="20"/>
              </w:rPr>
            </w:pPr>
            <w:r w:rsidRPr="0079635C">
              <w:rPr>
                <w:rFonts w:asciiTheme="minorHAnsi" w:hAnsiTheme="minorHAnsi" w:cstheme="minorHAnsi"/>
                <w:sz w:val="20"/>
              </w:rPr>
              <w:t xml:space="preserve">Communication and coordination </w:t>
            </w:r>
            <w:r>
              <w:rPr>
                <w:rFonts w:asciiTheme="minorHAnsi" w:hAnsiTheme="minorHAnsi" w:cstheme="minorHAnsi"/>
                <w:sz w:val="20"/>
              </w:rPr>
              <w:t>(knowing with whom to communicate and coordinate)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534F3" w:rsidRPr="0079635C" w:rsidRDefault="00B534F3" w:rsidP="00C053C2">
            <w:pPr>
              <w:pStyle w:val="ListParagraph"/>
              <w:autoSpaceDE w:val="0"/>
              <w:autoSpaceDN w:val="0"/>
              <w:adjustRightInd w:val="0"/>
              <w:ind w:left="42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B534F3" w:rsidRPr="0079635C" w:rsidRDefault="00B534F3" w:rsidP="00C053C2">
            <w:pPr>
              <w:pStyle w:val="ListParagraph"/>
              <w:autoSpaceDE w:val="0"/>
              <w:autoSpaceDN w:val="0"/>
              <w:adjustRightInd w:val="0"/>
              <w:ind w:left="425"/>
              <w:rPr>
                <w:rFonts w:asciiTheme="minorHAnsi" w:hAnsiTheme="minorHAnsi" w:cstheme="minorHAnsi"/>
                <w:sz w:val="20"/>
              </w:rPr>
            </w:pPr>
          </w:p>
        </w:tc>
      </w:tr>
      <w:tr w:rsidR="00B534F3" w:rsidRPr="00A319A7" w:rsidTr="00B534F3">
        <w:trPr>
          <w:trHeight w:val="224"/>
        </w:trPr>
        <w:tc>
          <w:tcPr>
            <w:tcW w:w="6030" w:type="dxa"/>
            <w:shd w:val="clear" w:color="auto" w:fill="404040" w:themeFill="text1" w:themeFillTint="BF"/>
          </w:tcPr>
          <w:p w:rsidR="00B534F3" w:rsidRPr="00A319A7" w:rsidRDefault="00B534F3" w:rsidP="00C053C2">
            <w:pPr>
              <w:spacing w:after="100" w:line="276" w:lineRule="auto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A319A7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Other Factors to Consider</w:t>
            </w:r>
          </w:p>
        </w:tc>
        <w:tc>
          <w:tcPr>
            <w:tcW w:w="810" w:type="dxa"/>
            <w:shd w:val="clear" w:color="auto" w:fill="404040" w:themeFill="text1" w:themeFillTint="BF"/>
          </w:tcPr>
          <w:p w:rsidR="00B534F3" w:rsidRPr="00A319A7" w:rsidRDefault="00B534F3" w:rsidP="00C053C2">
            <w:pPr>
              <w:spacing w:after="100" w:line="276" w:lineRule="auto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69" w:type="dxa"/>
            <w:shd w:val="clear" w:color="auto" w:fill="404040" w:themeFill="text1" w:themeFillTint="BF"/>
          </w:tcPr>
          <w:p w:rsidR="00B534F3" w:rsidRPr="00A319A7" w:rsidRDefault="00B534F3" w:rsidP="00C053C2">
            <w:pPr>
              <w:spacing w:after="100" w:line="276" w:lineRule="auto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B534F3" w:rsidRPr="0079635C" w:rsidTr="00B534F3">
        <w:tc>
          <w:tcPr>
            <w:tcW w:w="6030" w:type="dxa"/>
            <w:shd w:val="clear" w:color="auto" w:fill="BFBFBF" w:themeFill="background1" w:themeFillShade="BF"/>
          </w:tcPr>
          <w:p w:rsidR="00B534F3" w:rsidRPr="0079635C" w:rsidRDefault="00B534F3" w:rsidP="00C053C2">
            <w:pPr>
              <w:spacing w:after="100"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9635C">
              <w:rPr>
                <w:rFonts w:cstheme="minorHAnsi"/>
                <w:b/>
                <w:bCs/>
                <w:sz w:val="20"/>
                <w:szCs w:val="20"/>
              </w:rPr>
              <w:t>Employer Engagement and Preparation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Factors 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B534F3" w:rsidRPr="0079635C" w:rsidRDefault="00B534F3" w:rsidP="00C053C2">
            <w:pPr>
              <w:spacing w:after="100"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69" w:type="dxa"/>
            <w:shd w:val="clear" w:color="auto" w:fill="BFBFBF" w:themeFill="background1" w:themeFillShade="BF"/>
          </w:tcPr>
          <w:p w:rsidR="00B534F3" w:rsidRPr="0079635C" w:rsidRDefault="00B534F3" w:rsidP="00C053C2">
            <w:pPr>
              <w:spacing w:after="100"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534F3" w:rsidRPr="0079635C" w:rsidTr="00B534F3">
        <w:tc>
          <w:tcPr>
            <w:tcW w:w="6030" w:type="dxa"/>
          </w:tcPr>
          <w:p w:rsidR="00B534F3" w:rsidRPr="0079635C" w:rsidRDefault="00B534F3" w:rsidP="00B534F3">
            <w:pPr>
              <w:numPr>
                <w:ilvl w:val="0"/>
                <w:numId w:val="5"/>
              </w:numPr>
              <w:spacing w:line="276" w:lineRule="auto"/>
              <w:ind w:left="425"/>
              <w:rPr>
                <w:rFonts w:cstheme="minorHAnsi"/>
                <w:bCs/>
                <w:sz w:val="20"/>
                <w:szCs w:val="20"/>
              </w:rPr>
            </w:pPr>
            <w:r w:rsidRPr="0079635C">
              <w:rPr>
                <w:rFonts w:eastAsia="MS PGothic" w:cstheme="minorHAnsi"/>
                <w:bCs/>
                <w:sz w:val="20"/>
                <w:szCs w:val="20"/>
              </w:rPr>
              <w:t>Outreach processes in place</w:t>
            </w:r>
          </w:p>
        </w:tc>
        <w:tc>
          <w:tcPr>
            <w:tcW w:w="810" w:type="dxa"/>
          </w:tcPr>
          <w:p w:rsidR="00B534F3" w:rsidRPr="0079635C" w:rsidRDefault="00B534F3" w:rsidP="00C053C2">
            <w:pPr>
              <w:spacing w:line="276" w:lineRule="auto"/>
              <w:ind w:left="425"/>
              <w:rPr>
                <w:rFonts w:eastAsia="MS PGothic" w:cstheme="minorHAnsi"/>
                <w:bCs/>
                <w:sz w:val="20"/>
                <w:szCs w:val="20"/>
              </w:rPr>
            </w:pPr>
          </w:p>
        </w:tc>
        <w:tc>
          <w:tcPr>
            <w:tcW w:w="3469" w:type="dxa"/>
          </w:tcPr>
          <w:p w:rsidR="00B534F3" w:rsidRPr="0079635C" w:rsidRDefault="00B534F3" w:rsidP="00C053C2">
            <w:pPr>
              <w:spacing w:line="276" w:lineRule="auto"/>
              <w:ind w:left="425"/>
              <w:rPr>
                <w:rFonts w:eastAsia="MS PGothic" w:cstheme="minorHAnsi"/>
                <w:bCs/>
                <w:sz w:val="20"/>
                <w:szCs w:val="20"/>
              </w:rPr>
            </w:pPr>
          </w:p>
        </w:tc>
      </w:tr>
      <w:tr w:rsidR="00B534F3" w:rsidRPr="0079635C" w:rsidTr="00B534F3">
        <w:tc>
          <w:tcPr>
            <w:tcW w:w="6030" w:type="dxa"/>
          </w:tcPr>
          <w:p w:rsidR="00B534F3" w:rsidRPr="0079635C" w:rsidRDefault="00B534F3" w:rsidP="00B534F3">
            <w:pPr>
              <w:numPr>
                <w:ilvl w:val="0"/>
                <w:numId w:val="5"/>
              </w:numPr>
              <w:spacing w:line="276" w:lineRule="auto"/>
              <w:ind w:left="425"/>
              <w:rPr>
                <w:rFonts w:cstheme="minorHAnsi"/>
                <w:bCs/>
                <w:sz w:val="20"/>
                <w:szCs w:val="20"/>
              </w:rPr>
            </w:pPr>
            <w:r w:rsidRPr="0079635C">
              <w:rPr>
                <w:rFonts w:eastAsia="MS PGothic" w:cstheme="minorHAnsi"/>
                <w:bCs/>
                <w:sz w:val="20"/>
                <w:szCs w:val="20"/>
              </w:rPr>
              <w:t>Orientation process in place that is not burdensome for employers or clients</w:t>
            </w:r>
          </w:p>
        </w:tc>
        <w:tc>
          <w:tcPr>
            <w:tcW w:w="810" w:type="dxa"/>
          </w:tcPr>
          <w:p w:rsidR="00B534F3" w:rsidRPr="0079635C" w:rsidRDefault="00B534F3" w:rsidP="00C053C2">
            <w:pPr>
              <w:spacing w:line="276" w:lineRule="auto"/>
              <w:ind w:left="425"/>
              <w:rPr>
                <w:rFonts w:eastAsia="MS PGothic" w:cstheme="minorHAnsi"/>
                <w:bCs/>
                <w:sz w:val="20"/>
                <w:szCs w:val="20"/>
              </w:rPr>
            </w:pPr>
          </w:p>
        </w:tc>
        <w:tc>
          <w:tcPr>
            <w:tcW w:w="3469" w:type="dxa"/>
          </w:tcPr>
          <w:p w:rsidR="00B534F3" w:rsidRPr="0079635C" w:rsidRDefault="00B534F3" w:rsidP="00C053C2">
            <w:pPr>
              <w:spacing w:line="276" w:lineRule="auto"/>
              <w:ind w:left="425"/>
              <w:rPr>
                <w:rFonts w:eastAsia="MS PGothic" w:cstheme="minorHAnsi"/>
                <w:bCs/>
                <w:sz w:val="20"/>
                <w:szCs w:val="20"/>
              </w:rPr>
            </w:pPr>
          </w:p>
        </w:tc>
      </w:tr>
      <w:tr w:rsidR="00B534F3" w:rsidRPr="0079635C" w:rsidTr="00B534F3">
        <w:tc>
          <w:tcPr>
            <w:tcW w:w="6030" w:type="dxa"/>
          </w:tcPr>
          <w:p w:rsidR="00B534F3" w:rsidRPr="0079635C" w:rsidRDefault="00B534F3" w:rsidP="00B534F3">
            <w:pPr>
              <w:numPr>
                <w:ilvl w:val="0"/>
                <w:numId w:val="5"/>
              </w:numPr>
              <w:spacing w:line="276" w:lineRule="auto"/>
              <w:ind w:left="425"/>
              <w:rPr>
                <w:rFonts w:cstheme="minorHAnsi"/>
                <w:bCs/>
                <w:sz w:val="20"/>
                <w:szCs w:val="20"/>
              </w:rPr>
            </w:pPr>
            <w:r w:rsidRPr="0079635C">
              <w:rPr>
                <w:rFonts w:eastAsia="MS PGothic" w:cstheme="minorHAnsi"/>
                <w:bCs/>
                <w:sz w:val="20"/>
                <w:szCs w:val="20"/>
              </w:rPr>
              <w:t>Ongoing support for employers or clients</w:t>
            </w:r>
          </w:p>
        </w:tc>
        <w:tc>
          <w:tcPr>
            <w:tcW w:w="810" w:type="dxa"/>
          </w:tcPr>
          <w:p w:rsidR="00B534F3" w:rsidRPr="0079635C" w:rsidRDefault="00B534F3" w:rsidP="00C053C2">
            <w:pPr>
              <w:spacing w:line="276" w:lineRule="auto"/>
              <w:ind w:left="425"/>
              <w:rPr>
                <w:rFonts w:eastAsia="MS PGothic" w:cstheme="minorHAnsi"/>
                <w:bCs/>
                <w:sz w:val="20"/>
                <w:szCs w:val="20"/>
              </w:rPr>
            </w:pPr>
          </w:p>
        </w:tc>
        <w:tc>
          <w:tcPr>
            <w:tcW w:w="3469" w:type="dxa"/>
          </w:tcPr>
          <w:p w:rsidR="00B534F3" w:rsidRPr="0079635C" w:rsidRDefault="00B534F3" w:rsidP="00C053C2">
            <w:pPr>
              <w:spacing w:line="276" w:lineRule="auto"/>
              <w:ind w:left="425"/>
              <w:rPr>
                <w:rFonts w:eastAsia="MS PGothic" w:cstheme="minorHAnsi"/>
                <w:bCs/>
                <w:sz w:val="20"/>
                <w:szCs w:val="20"/>
              </w:rPr>
            </w:pPr>
          </w:p>
        </w:tc>
      </w:tr>
      <w:tr w:rsidR="00B534F3" w:rsidRPr="0079635C" w:rsidTr="00B534F3">
        <w:tc>
          <w:tcPr>
            <w:tcW w:w="6030" w:type="dxa"/>
          </w:tcPr>
          <w:p w:rsidR="00B534F3" w:rsidRPr="0079635C" w:rsidRDefault="00B534F3" w:rsidP="00B534F3">
            <w:pPr>
              <w:numPr>
                <w:ilvl w:val="0"/>
                <w:numId w:val="5"/>
              </w:numPr>
              <w:spacing w:line="276" w:lineRule="auto"/>
              <w:ind w:left="425"/>
              <w:rPr>
                <w:rFonts w:cstheme="minorHAnsi"/>
                <w:bCs/>
                <w:sz w:val="20"/>
                <w:szCs w:val="20"/>
              </w:rPr>
            </w:pPr>
            <w:r w:rsidRPr="0079635C">
              <w:rPr>
                <w:rFonts w:eastAsia="MS PGothic" w:cstheme="minorHAnsi"/>
                <w:bCs/>
                <w:sz w:val="20"/>
                <w:szCs w:val="20"/>
              </w:rPr>
              <w:t>Assessment and evaluation activities</w:t>
            </w:r>
          </w:p>
        </w:tc>
        <w:tc>
          <w:tcPr>
            <w:tcW w:w="810" w:type="dxa"/>
          </w:tcPr>
          <w:p w:rsidR="00B534F3" w:rsidRPr="0079635C" w:rsidRDefault="00B534F3" w:rsidP="00C053C2">
            <w:pPr>
              <w:spacing w:line="276" w:lineRule="auto"/>
              <w:ind w:left="425"/>
              <w:rPr>
                <w:rFonts w:eastAsia="MS PGothic" w:cstheme="minorHAnsi"/>
                <w:bCs/>
                <w:sz w:val="20"/>
                <w:szCs w:val="20"/>
              </w:rPr>
            </w:pPr>
          </w:p>
        </w:tc>
        <w:tc>
          <w:tcPr>
            <w:tcW w:w="3469" w:type="dxa"/>
          </w:tcPr>
          <w:p w:rsidR="00B534F3" w:rsidRPr="0079635C" w:rsidRDefault="00B534F3" w:rsidP="00C053C2">
            <w:pPr>
              <w:spacing w:line="276" w:lineRule="auto"/>
              <w:ind w:left="425"/>
              <w:rPr>
                <w:rFonts w:eastAsia="MS PGothic" w:cstheme="minorHAnsi"/>
                <w:bCs/>
                <w:sz w:val="20"/>
                <w:szCs w:val="20"/>
              </w:rPr>
            </w:pPr>
          </w:p>
        </w:tc>
      </w:tr>
      <w:tr w:rsidR="00B534F3" w:rsidRPr="0079635C" w:rsidTr="00B534F3">
        <w:tc>
          <w:tcPr>
            <w:tcW w:w="6030" w:type="dxa"/>
          </w:tcPr>
          <w:p w:rsidR="00B534F3" w:rsidRPr="0079635C" w:rsidRDefault="00B534F3" w:rsidP="00B534F3">
            <w:pPr>
              <w:numPr>
                <w:ilvl w:val="0"/>
                <w:numId w:val="5"/>
              </w:numPr>
              <w:spacing w:line="276" w:lineRule="auto"/>
              <w:ind w:left="425"/>
              <w:rPr>
                <w:rFonts w:cstheme="minorHAnsi"/>
                <w:bCs/>
                <w:sz w:val="20"/>
                <w:szCs w:val="20"/>
              </w:rPr>
            </w:pPr>
            <w:r w:rsidRPr="0079635C">
              <w:rPr>
                <w:rFonts w:eastAsia="MS PGothic" w:cstheme="minorHAnsi"/>
                <w:bCs/>
                <w:sz w:val="20"/>
                <w:szCs w:val="20"/>
              </w:rPr>
              <w:t>Closing, appreciative, and feedback activities</w:t>
            </w:r>
          </w:p>
        </w:tc>
        <w:tc>
          <w:tcPr>
            <w:tcW w:w="810" w:type="dxa"/>
          </w:tcPr>
          <w:p w:rsidR="00B534F3" w:rsidRPr="0079635C" w:rsidRDefault="00B534F3" w:rsidP="00C053C2">
            <w:pPr>
              <w:spacing w:line="276" w:lineRule="auto"/>
              <w:ind w:left="425"/>
              <w:rPr>
                <w:rFonts w:eastAsia="MS PGothic" w:cstheme="minorHAnsi"/>
                <w:bCs/>
                <w:sz w:val="20"/>
                <w:szCs w:val="20"/>
              </w:rPr>
            </w:pPr>
          </w:p>
        </w:tc>
        <w:tc>
          <w:tcPr>
            <w:tcW w:w="3469" w:type="dxa"/>
          </w:tcPr>
          <w:p w:rsidR="00B534F3" w:rsidRPr="0079635C" w:rsidRDefault="00B534F3" w:rsidP="00C053C2">
            <w:pPr>
              <w:spacing w:line="276" w:lineRule="auto"/>
              <w:ind w:left="425"/>
              <w:rPr>
                <w:rFonts w:eastAsia="MS PGothic" w:cstheme="minorHAnsi"/>
                <w:bCs/>
                <w:sz w:val="20"/>
                <w:szCs w:val="20"/>
              </w:rPr>
            </w:pPr>
          </w:p>
        </w:tc>
      </w:tr>
      <w:tr w:rsidR="00B534F3" w:rsidRPr="0079635C" w:rsidTr="00B534F3">
        <w:tc>
          <w:tcPr>
            <w:tcW w:w="6030" w:type="dxa"/>
            <w:shd w:val="clear" w:color="auto" w:fill="BFBFBF" w:themeFill="background1" w:themeFillShade="BF"/>
          </w:tcPr>
          <w:p w:rsidR="00B534F3" w:rsidRPr="0079635C" w:rsidRDefault="00B534F3" w:rsidP="00C053C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635C">
              <w:rPr>
                <w:rFonts w:cstheme="minorHAnsi"/>
                <w:b/>
                <w:bCs/>
                <w:sz w:val="20"/>
                <w:szCs w:val="20"/>
              </w:rPr>
              <w:t xml:space="preserve">Instructional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Factors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B534F3" w:rsidRPr="0079635C" w:rsidRDefault="00B534F3" w:rsidP="00C053C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69" w:type="dxa"/>
            <w:shd w:val="clear" w:color="auto" w:fill="BFBFBF" w:themeFill="background1" w:themeFillShade="BF"/>
          </w:tcPr>
          <w:p w:rsidR="00B534F3" w:rsidRPr="0079635C" w:rsidRDefault="00B534F3" w:rsidP="00C053C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534F3" w:rsidRPr="0079635C" w:rsidTr="00B534F3">
        <w:tc>
          <w:tcPr>
            <w:tcW w:w="6030" w:type="dxa"/>
          </w:tcPr>
          <w:p w:rsidR="00B534F3" w:rsidRPr="0079635C" w:rsidRDefault="00B534F3" w:rsidP="00B534F3">
            <w:pPr>
              <w:widowControl w:val="0"/>
              <w:numPr>
                <w:ilvl w:val="0"/>
                <w:numId w:val="2"/>
              </w:numPr>
              <w:spacing w:after="40"/>
              <w:ind w:left="425"/>
              <w:rPr>
                <w:rFonts w:cstheme="minorHAnsi"/>
                <w:sz w:val="20"/>
              </w:rPr>
            </w:pPr>
            <w:r w:rsidRPr="0079635C">
              <w:rPr>
                <w:rFonts w:cstheme="minorHAnsi"/>
                <w:sz w:val="20"/>
              </w:rPr>
              <w:t>Learning opportunities in the workplace or community are identified and aligned with teaching objectives.</w:t>
            </w:r>
          </w:p>
        </w:tc>
        <w:tc>
          <w:tcPr>
            <w:tcW w:w="810" w:type="dxa"/>
          </w:tcPr>
          <w:p w:rsidR="00B534F3" w:rsidRPr="0079635C" w:rsidRDefault="00B534F3" w:rsidP="00C053C2">
            <w:pPr>
              <w:widowControl w:val="0"/>
              <w:spacing w:after="40"/>
              <w:ind w:left="425"/>
              <w:rPr>
                <w:rFonts w:cstheme="minorHAnsi"/>
                <w:sz w:val="20"/>
              </w:rPr>
            </w:pPr>
          </w:p>
        </w:tc>
        <w:tc>
          <w:tcPr>
            <w:tcW w:w="3469" w:type="dxa"/>
          </w:tcPr>
          <w:p w:rsidR="00B534F3" w:rsidRPr="0079635C" w:rsidRDefault="00B534F3" w:rsidP="00C053C2">
            <w:pPr>
              <w:widowControl w:val="0"/>
              <w:spacing w:after="40"/>
              <w:ind w:left="425"/>
              <w:rPr>
                <w:rFonts w:cstheme="minorHAnsi"/>
                <w:sz w:val="20"/>
              </w:rPr>
            </w:pPr>
          </w:p>
        </w:tc>
      </w:tr>
      <w:tr w:rsidR="00B534F3" w:rsidRPr="0079635C" w:rsidTr="00B534F3">
        <w:tc>
          <w:tcPr>
            <w:tcW w:w="6030" w:type="dxa"/>
          </w:tcPr>
          <w:p w:rsidR="00B534F3" w:rsidRPr="0079635C" w:rsidRDefault="00B534F3" w:rsidP="00B534F3">
            <w:pPr>
              <w:widowControl w:val="0"/>
              <w:numPr>
                <w:ilvl w:val="0"/>
                <w:numId w:val="2"/>
              </w:numPr>
              <w:spacing w:after="40"/>
              <w:ind w:left="425"/>
              <w:rPr>
                <w:rFonts w:cstheme="minorHAnsi"/>
                <w:sz w:val="20"/>
              </w:rPr>
            </w:pPr>
            <w:r w:rsidRPr="0079635C">
              <w:rPr>
                <w:rFonts w:cstheme="minorHAnsi"/>
                <w:sz w:val="20"/>
              </w:rPr>
              <w:t>Learning objectives for the experiences are specified through learning plans and monitored through communication between educators and employers.</w:t>
            </w:r>
          </w:p>
        </w:tc>
        <w:tc>
          <w:tcPr>
            <w:tcW w:w="810" w:type="dxa"/>
          </w:tcPr>
          <w:p w:rsidR="00B534F3" w:rsidRPr="0079635C" w:rsidRDefault="00B534F3" w:rsidP="00C053C2">
            <w:pPr>
              <w:widowControl w:val="0"/>
              <w:spacing w:after="40"/>
              <w:ind w:left="425"/>
              <w:rPr>
                <w:rFonts w:cstheme="minorHAnsi"/>
                <w:sz w:val="20"/>
              </w:rPr>
            </w:pPr>
          </w:p>
        </w:tc>
        <w:tc>
          <w:tcPr>
            <w:tcW w:w="3469" w:type="dxa"/>
          </w:tcPr>
          <w:p w:rsidR="00B534F3" w:rsidRPr="0079635C" w:rsidRDefault="00B534F3" w:rsidP="00C053C2">
            <w:pPr>
              <w:widowControl w:val="0"/>
              <w:spacing w:after="40"/>
              <w:ind w:left="425"/>
              <w:rPr>
                <w:rFonts w:cstheme="minorHAnsi"/>
                <w:sz w:val="20"/>
              </w:rPr>
            </w:pPr>
          </w:p>
        </w:tc>
      </w:tr>
      <w:tr w:rsidR="00B534F3" w:rsidRPr="0079635C" w:rsidTr="00B534F3">
        <w:tc>
          <w:tcPr>
            <w:tcW w:w="6030" w:type="dxa"/>
          </w:tcPr>
          <w:p w:rsidR="00B534F3" w:rsidRPr="0079635C" w:rsidRDefault="00B534F3" w:rsidP="00B534F3">
            <w:pPr>
              <w:widowControl w:val="0"/>
              <w:numPr>
                <w:ilvl w:val="0"/>
                <w:numId w:val="2"/>
              </w:numPr>
              <w:spacing w:after="40"/>
              <w:ind w:left="425"/>
              <w:rPr>
                <w:rFonts w:cstheme="minorHAnsi"/>
                <w:sz w:val="20"/>
              </w:rPr>
            </w:pPr>
            <w:r w:rsidRPr="0079635C">
              <w:rPr>
                <w:rFonts w:cstheme="minorHAnsi"/>
                <w:sz w:val="20"/>
              </w:rPr>
              <w:t>Experiences offer in-depth engagement that reinforces academic and technical content and promotes higher-order thinking skills.</w:t>
            </w:r>
          </w:p>
        </w:tc>
        <w:tc>
          <w:tcPr>
            <w:tcW w:w="810" w:type="dxa"/>
          </w:tcPr>
          <w:p w:rsidR="00B534F3" w:rsidRPr="0079635C" w:rsidRDefault="00B534F3" w:rsidP="00C053C2">
            <w:pPr>
              <w:widowControl w:val="0"/>
              <w:spacing w:after="40"/>
              <w:ind w:left="425"/>
              <w:rPr>
                <w:rFonts w:cstheme="minorHAnsi"/>
                <w:sz w:val="20"/>
              </w:rPr>
            </w:pPr>
          </w:p>
        </w:tc>
        <w:tc>
          <w:tcPr>
            <w:tcW w:w="3469" w:type="dxa"/>
          </w:tcPr>
          <w:p w:rsidR="00B534F3" w:rsidRPr="0079635C" w:rsidRDefault="00B534F3" w:rsidP="00C053C2">
            <w:pPr>
              <w:widowControl w:val="0"/>
              <w:spacing w:after="40"/>
              <w:ind w:left="425"/>
              <w:rPr>
                <w:rFonts w:cstheme="minorHAnsi"/>
                <w:sz w:val="20"/>
              </w:rPr>
            </w:pPr>
          </w:p>
        </w:tc>
      </w:tr>
      <w:tr w:rsidR="00B534F3" w:rsidRPr="0079635C" w:rsidTr="00B534F3">
        <w:tc>
          <w:tcPr>
            <w:tcW w:w="6030" w:type="dxa"/>
          </w:tcPr>
          <w:p w:rsidR="00B534F3" w:rsidRPr="0079635C" w:rsidRDefault="00B534F3" w:rsidP="00B534F3">
            <w:pPr>
              <w:widowControl w:val="0"/>
              <w:numPr>
                <w:ilvl w:val="0"/>
                <w:numId w:val="2"/>
              </w:numPr>
              <w:spacing w:after="40"/>
              <w:ind w:left="425"/>
              <w:rPr>
                <w:rFonts w:cstheme="minorHAnsi"/>
                <w:sz w:val="20"/>
              </w:rPr>
            </w:pPr>
            <w:r w:rsidRPr="0079635C">
              <w:rPr>
                <w:rFonts w:cstheme="minorHAnsi"/>
                <w:sz w:val="20"/>
              </w:rPr>
              <w:t>Opportunities are provided for exposure to communities of practice and social networks that support cognitive, social, personal, and career development.</w:t>
            </w:r>
          </w:p>
        </w:tc>
        <w:tc>
          <w:tcPr>
            <w:tcW w:w="810" w:type="dxa"/>
          </w:tcPr>
          <w:p w:rsidR="00B534F3" w:rsidRPr="0079635C" w:rsidRDefault="00B534F3" w:rsidP="00C053C2">
            <w:pPr>
              <w:widowControl w:val="0"/>
              <w:spacing w:after="40"/>
              <w:ind w:left="425"/>
              <w:rPr>
                <w:rFonts w:cstheme="minorHAnsi"/>
                <w:sz w:val="20"/>
              </w:rPr>
            </w:pPr>
          </w:p>
        </w:tc>
        <w:tc>
          <w:tcPr>
            <w:tcW w:w="3469" w:type="dxa"/>
          </w:tcPr>
          <w:p w:rsidR="00B534F3" w:rsidRPr="0079635C" w:rsidRDefault="00B534F3" w:rsidP="00C053C2">
            <w:pPr>
              <w:widowControl w:val="0"/>
              <w:spacing w:after="40"/>
              <w:ind w:left="425"/>
              <w:rPr>
                <w:rFonts w:cstheme="minorHAnsi"/>
                <w:sz w:val="20"/>
              </w:rPr>
            </w:pPr>
          </w:p>
        </w:tc>
      </w:tr>
      <w:tr w:rsidR="00B534F3" w:rsidRPr="0079635C" w:rsidTr="00B534F3">
        <w:tc>
          <w:tcPr>
            <w:tcW w:w="6030" w:type="dxa"/>
          </w:tcPr>
          <w:p w:rsidR="00B534F3" w:rsidRPr="0079635C" w:rsidRDefault="00B534F3" w:rsidP="00B534F3">
            <w:pPr>
              <w:widowControl w:val="0"/>
              <w:numPr>
                <w:ilvl w:val="0"/>
                <w:numId w:val="2"/>
              </w:numPr>
              <w:spacing w:after="40"/>
              <w:ind w:left="425"/>
              <w:rPr>
                <w:rFonts w:cstheme="minorHAnsi"/>
                <w:sz w:val="20"/>
              </w:rPr>
            </w:pPr>
            <w:r w:rsidRPr="0079635C">
              <w:rPr>
                <w:rFonts w:cstheme="minorHAnsi"/>
                <w:sz w:val="20"/>
              </w:rPr>
              <w:t>Opportunities are provided for rotation among positions and functions with exposure to multiple supervisors for career development purposes as well as enhanced learning.</w:t>
            </w:r>
          </w:p>
        </w:tc>
        <w:tc>
          <w:tcPr>
            <w:tcW w:w="810" w:type="dxa"/>
          </w:tcPr>
          <w:p w:rsidR="00B534F3" w:rsidRPr="0079635C" w:rsidRDefault="00B534F3" w:rsidP="00C053C2">
            <w:pPr>
              <w:widowControl w:val="0"/>
              <w:spacing w:after="40"/>
              <w:ind w:left="425"/>
              <w:rPr>
                <w:rFonts w:cstheme="minorHAnsi"/>
                <w:sz w:val="20"/>
              </w:rPr>
            </w:pPr>
          </w:p>
        </w:tc>
        <w:tc>
          <w:tcPr>
            <w:tcW w:w="3469" w:type="dxa"/>
          </w:tcPr>
          <w:p w:rsidR="00B534F3" w:rsidRPr="0079635C" w:rsidRDefault="00B534F3" w:rsidP="00C053C2">
            <w:pPr>
              <w:widowControl w:val="0"/>
              <w:spacing w:after="40"/>
              <w:ind w:left="425"/>
              <w:rPr>
                <w:rFonts w:cstheme="minorHAnsi"/>
                <w:sz w:val="20"/>
              </w:rPr>
            </w:pPr>
          </w:p>
        </w:tc>
      </w:tr>
      <w:tr w:rsidR="00B534F3" w:rsidRPr="0079635C" w:rsidTr="00B534F3">
        <w:tc>
          <w:tcPr>
            <w:tcW w:w="6030" w:type="dxa"/>
          </w:tcPr>
          <w:p w:rsidR="00B534F3" w:rsidRPr="0079635C" w:rsidRDefault="00B534F3" w:rsidP="00B534F3">
            <w:pPr>
              <w:widowControl w:val="0"/>
              <w:numPr>
                <w:ilvl w:val="0"/>
                <w:numId w:val="2"/>
              </w:numPr>
              <w:spacing w:after="40"/>
              <w:ind w:left="425"/>
              <w:rPr>
                <w:rFonts w:cstheme="minorHAnsi"/>
                <w:sz w:val="20"/>
              </w:rPr>
            </w:pPr>
            <w:r w:rsidRPr="0079635C">
              <w:rPr>
                <w:rFonts w:cstheme="minorHAnsi"/>
                <w:sz w:val="20"/>
              </w:rPr>
              <w:t>Opportunities are provided for reflection about the experiences and their connection to classroom learning and students’ personal interests.</w:t>
            </w:r>
          </w:p>
        </w:tc>
        <w:tc>
          <w:tcPr>
            <w:tcW w:w="810" w:type="dxa"/>
          </w:tcPr>
          <w:p w:rsidR="00B534F3" w:rsidRPr="0079635C" w:rsidRDefault="00B534F3" w:rsidP="00C053C2">
            <w:pPr>
              <w:widowControl w:val="0"/>
              <w:spacing w:after="40"/>
              <w:ind w:left="425"/>
              <w:rPr>
                <w:rFonts w:cstheme="minorHAnsi"/>
                <w:sz w:val="20"/>
              </w:rPr>
            </w:pPr>
          </w:p>
        </w:tc>
        <w:tc>
          <w:tcPr>
            <w:tcW w:w="3469" w:type="dxa"/>
          </w:tcPr>
          <w:p w:rsidR="00B534F3" w:rsidRPr="0079635C" w:rsidRDefault="00B534F3" w:rsidP="00C053C2">
            <w:pPr>
              <w:widowControl w:val="0"/>
              <w:spacing w:after="40"/>
              <w:ind w:left="425"/>
              <w:rPr>
                <w:rFonts w:cstheme="minorHAnsi"/>
                <w:sz w:val="20"/>
              </w:rPr>
            </w:pPr>
          </w:p>
        </w:tc>
      </w:tr>
      <w:tr w:rsidR="00B534F3" w:rsidRPr="0079635C" w:rsidTr="00B534F3">
        <w:tc>
          <w:tcPr>
            <w:tcW w:w="6030" w:type="dxa"/>
          </w:tcPr>
          <w:p w:rsidR="00B534F3" w:rsidRPr="0079635C" w:rsidRDefault="00B534F3" w:rsidP="00B534F3">
            <w:pPr>
              <w:widowControl w:val="0"/>
              <w:numPr>
                <w:ilvl w:val="0"/>
                <w:numId w:val="2"/>
              </w:numPr>
              <w:spacing w:after="40"/>
              <w:ind w:left="425"/>
              <w:rPr>
                <w:rFonts w:cstheme="minorHAnsi"/>
                <w:sz w:val="20"/>
              </w:rPr>
            </w:pPr>
            <w:r w:rsidRPr="0079635C">
              <w:rPr>
                <w:rFonts w:cstheme="minorHAnsi"/>
                <w:sz w:val="20"/>
              </w:rPr>
              <w:t>Student performance is assessed and documented, with input from the employer, client or community.</w:t>
            </w:r>
          </w:p>
        </w:tc>
        <w:tc>
          <w:tcPr>
            <w:tcW w:w="810" w:type="dxa"/>
          </w:tcPr>
          <w:p w:rsidR="00B534F3" w:rsidRPr="0079635C" w:rsidRDefault="00B534F3" w:rsidP="00C053C2">
            <w:pPr>
              <w:widowControl w:val="0"/>
              <w:spacing w:after="40"/>
              <w:ind w:left="425"/>
              <w:rPr>
                <w:rFonts w:cstheme="minorHAnsi"/>
                <w:sz w:val="20"/>
              </w:rPr>
            </w:pPr>
          </w:p>
        </w:tc>
        <w:tc>
          <w:tcPr>
            <w:tcW w:w="3469" w:type="dxa"/>
          </w:tcPr>
          <w:p w:rsidR="00B534F3" w:rsidRPr="0079635C" w:rsidRDefault="00B534F3" w:rsidP="00C053C2">
            <w:pPr>
              <w:widowControl w:val="0"/>
              <w:spacing w:after="40"/>
              <w:ind w:left="425"/>
              <w:rPr>
                <w:rFonts w:cstheme="minorHAnsi"/>
                <w:sz w:val="20"/>
              </w:rPr>
            </w:pPr>
          </w:p>
        </w:tc>
      </w:tr>
      <w:tr w:rsidR="00B534F3" w:rsidRPr="0079635C" w:rsidTr="00B534F3">
        <w:tc>
          <w:tcPr>
            <w:tcW w:w="6030" w:type="dxa"/>
            <w:shd w:val="clear" w:color="auto" w:fill="BFBFBF" w:themeFill="background1" w:themeFillShade="BF"/>
          </w:tcPr>
          <w:p w:rsidR="00B534F3" w:rsidRPr="0079635C" w:rsidRDefault="00B534F3" w:rsidP="00C053C2">
            <w:pPr>
              <w:rPr>
                <w:rFonts w:cstheme="minorHAnsi"/>
                <w:b/>
                <w:sz w:val="16"/>
                <w:szCs w:val="16"/>
              </w:rPr>
            </w:pPr>
            <w:r w:rsidRPr="0079635C">
              <w:rPr>
                <w:rFonts w:cstheme="minorHAnsi"/>
                <w:b/>
                <w:bCs/>
                <w:sz w:val="20"/>
                <w:szCs w:val="20"/>
              </w:rPr>
              <w:t xml:space="preserve">Other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Factors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B534F3" w:rsidRPr="0079635C" w:rsidRDefault="00B534F3" w:rsidP="00C053C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69" w:type="dxa"/>
            <w:shd w:val="clear" w:color="auto" w:fill="BFBFBF" w:themeFill="background1" w:themeFillShade="BF"/>
          </w:tcPr>
          <w:p w:rsidR="00B534F3" w:rsidRPr="0079635C" w:rsidRDefault="00B534F3" w:rsidP="00C053C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534F3" w:rsidRPr="00DF40DD" w:rsidTr="00B534F3">
        <w:tc>
          <w:tcPr>
            <w:tcW w:w="6030" w:type="dxa"/>
          </w:tcPr>
          <w:p w:rsidR="00B534F3" w:rsidRPr="0079635C" w:rsidRDefault="00B534F3" w:rsidP="00B534F3">
            <w:pPr>
              <w:pStyle w:val="ListParagraph"/>
              <w:numPr>
                <w:ilvl w:val="0"/>
                <w:numId w:val="6"/>
              </w:numPr>
              <w:ind w:left="42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B534F3" w:rsidRPr="00DF40DD" w:rsidRDefault="00B534F3" w:rsidP="00C053C2">
            <w:pPr>
              <w:ind w:left="6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9" w:type="dxa"/>
          </w:tcPr>
          <w:p w:rsidR="00B534F3" w:rsidRPr="00DF40DD" w:rsidRDefault="00B534F3" w:rsidP="00C053C2">
            <w:pPr>
              <w:ind w:left="65"/>
              <w:rPr>
                <w:rFonts w:cstheme="minorHAnsi"/>
                <w:sz w:val="20"/>
                <w:szCs w:val="20"/>
              </w:rPr>
            </w:pPr>
          </w:p>
        </w:tc>
      </w:tr>
      <w:tr w:rsidR="00B534F3" w:rsidRPr="0079635C" w:rsidTr="00B534F3">
        <w:tc>
          <w:tcPr>
            <w:tcW w:w="6030" w:type="dxa"/>
          </w:tcPr>
          <w:p w:rsidR="00B534F3" w:rsidRPr="0079635C" w:rsidRDefault="00B534F3" w:rsidP="00B534F3">
            <w:pPr>
              <w:pStyle w:val="ListParagraph"/>
              <w:numPr>
                <w:ilvl w:val="0"/>
                <w:numId w:val="6"/>
              </w:numPr>
              <w:ind w:left="42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B534F3" w:rsidRPr="0079635C" w:rsidRDefault="00B534F3" w:rsidP="00C053C2">
            <w:pPr>
              <w:pStyle w:val="ListParagraph"/>
              <w:ind w:left="42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69" w:type="dxa"/>
          </w:tcPr>
          <w:p w:rsidR="00B534F3" w:rsidRPr="0079635C" w:rsidRDefault="00B534F3" w:rsidP="00C053C2">
            <w:pPr>
              <w:pStyle w:val="ListParagraph"/>
              <w:ind w:left="42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34F3" w:rsidRPr="0079635C" w:rsidTr="00B534F3">
        <w:tc>
          <w:tcPr>
            <w:tcW w:w="6030" w:type="dxa"/>
          </w:tcPr>
          <w:p w:rsidR="00B534F3" w:rsidRPr="0079635C" w:rsidRDefault="00B534F3" w:rsidP="00B534F3">
            <w:pPr>
              <w:pStyle w:val="ListParagraph"/>
              <w:numPr>
                <w:ilvl w:val="0"/>
                <w:numId w:val="6"/>
              </w:numPr>
              <w:ind w:left="42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B534F3" w:rsidRPr="0079635C" w:rsidRDefault="00B534F3" w:rsidP="00C053C2">
            <w:pPr>
              <w:pStyle w:val="ListParagraph"/>
              <w:ind w:left="42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69" w:type="dxa"/>
          </w:tcPr>
          <w:p w:rsidR="00B534F3" w:rsidRPr="0079635C" w:rsidRDefault="00B534F3" w:rsidP="00C053C2">
            <w:pPr>
              <w:pStyle w:val="ListParagraph"/>
              <w:ind w:left="42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8326C" w:rsidRDefault="0098326C"/>
    <w:sectPr w:rsidR="0098326C" w:rsidSect="00B534F3">
      <w:headerReference w:type="default" r:id="rId7"/>
      <w:footerReference w:type="even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C14" w:rsidRDefault="00A74C14" w:rsidP="001B5483">
      <w:r>
        <w:separator/>
      </w:r>
    </w:p>
  </w:endnote>
  <w:endnote w:type="continuationSeparator" w:id="0">
    <w:p w:rsidR="00A74C14" w:rsidRDefault="00A74C14" w:rsidP="001B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31309737"/>
      <w:docPartObj>
        <w:docPartGallery w:val="Page Numbers (Bottom of Page)"/>
        <w:docPartUnique/>
      </w:docPartObj>
    </w:sdtPr>
    <w:sdtContent>
      <w:p w:rsidR="001B5483" w:rsidRDefault="001B5483" w:rsidP="006B239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1B5483" w:rsidRDefault="001B5483" w:rsidP="001B54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80200777"/>
      <w:docPartObj>
        <w:docPartGallery w:val="Page Numbers (Bottom of Page)"/>
        <w:docPartUnique/>
      </w:docPartObj>
    </w:sdtPr>
    <w:sdtContent>
      <w:p w:rsidR="001B5483" w:rsidRDefault="001B5483" w:rsidP="006B239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1B5483" w:rsidRDefault="001B5483" w:rsidP="001B54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C14" w:rsidRDefault="00A74C14" w:rsidP="001B5483">
      <w:r>
        <w:separator/>
      </w:r>
    </w:p>
  </w:footnote>
  <w:footnote w:type="continuationSeparator" w:id="0">
    <w:p w:rsidR="00A74C14" w:rsidRDefault="00A74C14" w:rsidP="001B5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483" w:rsidRPr="001B5483" w:rsidRDefault="001B5483" w:rsidP="001B5483">
    <w:pPr>
      <w:pStyle w:val="Header"/>
      <w:jc w:val="right"/>
      <w:rPr>
        <w:rFonts w:asciiTheme="minorHAnsi" w:hAnsiTheme="minorHAnsi"/>
        <w:b/>
        <w:sz w:val="20"/>
      </w:rPr>
    </w:pPr>
    <w:r w:rsidRPr="001B5483">
      <w:rPr>
        <w:rFonts w:asciiTheme="minorHAnsi" w:hAnsiTheme="minorHAnsi"/>
        <w:b/>
        <w:sz w:val="20"/>
      </w:rPr>
      <w:t>Draft 6.1.20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541F7"/>
    <w:multiLevelType w:val="hybridMultilevel"/>
    <w:tmpl w:val="BF4A2E42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88771D1"/>
    <w:multiLevelType w:val="hybridMultilevel"/>
    <w:tmpl w:val="62108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9571A"/>
    <w:multiLevelType w:val="hybridMultilevel"/>
    <w:tmpl w:val="728265D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BBD19D7"/>
    <w:multiLevelType w:val="hybridMultilevel"/>
    <w:tmpl w:val="25A47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30A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46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72D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20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A2C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F89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1C8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A82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7152E0F"/>
    <w:multiLevelType w:val="hybridMultilevel"/>
    <w:tmpl w:val="61B61CBE"/>
    <w:lvl w:ilvl="0" w:tplc="2EBEA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DC0F4A"/>
    <w:multiLevelType w:val="hybridMultilevel"/>
    <w:tmpl w:val="5BC28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88E6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8C4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626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30B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E44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DA1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88A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2C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B022EBC"/>
    <w:multiLevelType w:val="hybridMultilevel"/>
    <w:tmpl w:val="171E2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4584E"/>
    <w:multiLevelType w:val="hybridMultilevel"/>
    <w:tmpl w:val="BD526390"/>
    <w:lvl w:ilvl="0" w:tplc="12ACB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2" w:tplc="268C4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626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30B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E44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DA1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88A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2C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F3"/>
    <w:rsid w:val="001B5483"/>
    <w:rsid w:val="002F6F28"/>
    <w:rsid w:val="00342107"/>
    <w:rsid w:val="008721F6"/>
    <w:rsid w:val="0098326C"/>
    <w:rsid w:val="00A74C14"/>
    <w:rsid w:val="00B5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7D1F06"/>
  <w15:chartTrackingRefBased/>
  <w15:docId w15:val="{FAB75489-04E6-4E47-94D2-49216BE0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4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-1">
    <w:name w:val="Heading-1"/>
    <w:basedOn w:val="Normal"/>
    <w:rsid w:val="00B534F3"/>
    <w:rPr>
      <w:rFonts w:ascii="Arial" w:eastAsia="Times New Roman" w:hAnsi="Arial" w:cs="Arial"/>
      <w:b/>
      <w:caps/>
      <w:sz w:val="21"/>
      <w:szCs w:val="20"/>
    </w:rPr>
  </w:style>
  <w:style w:type="paragraph" w:customStyle="1" w:styleId="Heading-2">
    <w:name w:val="Heading-2"/>
    <w:basedOn w:val="Heading4"/>
    <w:rsid w:val="00B534F3"/>
    <w:pPr>
      <w:keepLines w:val="0"/>
      <w:spacing w:before="0"/>
    </w:pPr>
    <w:rPr>
      <w:rFonts w:ascii="Arial" w:eastAsia="Times New Roman" w:hAnsi="Arial" w:cs="Arial"/>
      <w:b/>
      <w:bCs/>
      <w:i w:val="0"/>
      <w:iCs w:val="0"/>
      <w:color w:val="auto"/>
      <w:sz w:val="21"/>
    </w:rPr>
  </w:style>
  <w:style w:type="paragraph" w:styleId="Header">
    <w:name w:val="header"/>
    <w:basedOn w:val="Normal"/>
    <w:link w:val="HeaderChar"/>
    <w:semiHidden/>
    <w:rsid w:val="00B534F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B534F3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B534F3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B53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B534F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1B54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483"/>
  </w:style>
  <w:style w:type="character" w:styleId="PageNumber">
    <w:name w:val="page number"/>
    <w:basedOn w:val="DefaultParagraphFont"/>
    <w:uiPriority w:val="99"/>
    <w:semiHidden/>
    <w:unhideWhenUsed/>
    <w:rsid w:val="001B5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616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Lewis</dc:creator>
  <cp:keywords/>
  <dc:description/>
  <cp:lastModifiedBy>Joy Lewis</cp:lastModifiedBy>
  <cp:revision>5</cp:revision>
  <dcterms:created xsi:type="dcterms:W3CDTF">2020-06-01T17:11:00Z</dcterms:created>
  <dcterms:modified xsi:type="dcterms:W3CDTF">2020-06-01T17:17:00Z</dcterms:modified>
</cp:coreProperties>
</file>